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9F4B03" w14:textId="2B481F7D" w:rsidR="00F17F5E" w:rsidRDefault="00F17F5E" w:rsidP="00F17F5E">
      <w:pPr>
        <w:pStyle w:val="3GPPHeader"/>
        <w:spacing w:after="60"/>
      </w:pPr>
      <w:r>
        <w:t>3GPP TSG-RAN WG1 Meeting #</w:t>
      </w:r>
      <w:r w:rsidR="00D53AC8">
        <w:t>10</w:t>
      </w:r>
      <w:r w:rsidR="001F0D47">
        <w:t>5</w:t>
      </w:r>
      <w:r w:rsidR="00E743CB">
        <w:t>-e</w:t>
      </w:r>
      <w:r>
        <w:tab/>
      </w:r>
      <w:r w:rsidR="00BB65B3" w:rsidRPr="00BB65B3">
        <w:t>R1-2105889</w:t>
      </w:r>
    </w:p>
    <w:p w14:paraId="492457AB" w14:textId="2841E59D" w:rsidR="00B0348E" w:rsidRPr="00CE0424" w:rsidRDefault="00E743CB" w:rsidP="00F17F5E">
      <w:pPr>
        <w:pStyle w:val="3GPPHeader"/>
        <w:spacing w:after="60"/>
      </w:pPr>
      <w:r>
        <w:t>e-Meeting</w:t>
      </w:r>
      <w:r w:rsidR="00D53AC8" w:rsidRPr="00D53AC8">
        <w:t xml:space="preserve">, </w:t>
      </w:r>
      <w:r w:rsidR="001F0D47" w:rsidRPr="001F0D47">
        <w:t>May 10</w:t>
      </w:r>
      <w:r w:rsidR="001F0D47" w:rsidRPr="00202D59">
        <w:rPr>
          <w:vertAlign w:val="superscript"/>
        </w:rPr>
        <w:t>th</w:t>
      </w:r>
      <w:r w:rsidR="001F0D47" w:rsidRPr="001F0D47">
        <w:t xml:space="preserve"> – 27</w:t>
      </w:r>
      <w:r w:rsidR="001F0D47" w:rsidRPr="00202D59">
        <w:rPr>
          <w:vertAlign w:val="superscript"/>
        </w:rPr>
        <w:t>th</w:t>
      </w:r>
      <w:r w:rsidR="001F0D47" w:rsidRPr="001F0D47">
        <w:t>, 2021</w:t>
      </w:r>
      <w:r w:rsidR="00610EBF" w:rsidRPr="00610EBF">
        <w:t>, 2021</w:t>
      </w:r>
    </w:p>
    <w:p w14:paraId="60A5317D" w14:textId="77777777" w:rsidR="00E90E49" w:rsidRPr="00CE0424" w:rsidRDefault="00E90E49" w:rsidP="00357380">
      <w:pPr>
        <w:pStyle w:val="3GPPHeader"/>
      </w:pPr>
    </w:p>
    <w:p w14:paraId="00414F44" w14:textId="669D517A" w:rsidR="00E743CB" w:rsidRPr="00022FF1" w:rsidRDefault="00E90E49" w:rsidP="00311702">
      <w:pPr>
        <w:pStyle w:val="3GPPHeader"/>
        <w:rPr>
          <w:sz w:val="22"/>
          <w:szCs w:val="22"/>
          <w:lang w:val="en-US"/>
        </w:rPr>
      </w:pPr>
      <w:r w:rsidRPr="00022FF1">
        <w:rPr>
          <w:sz w:val="22"/>
          <w:szCs w:val="22"/>
          <w:lang w:val="en-US"/>
        </w:rPr>
        <w:t>Agenda Item:</w:t>
      </w:r>
      <w:r w:rsidRPr="00022FF1">
        <w:rPr>
          <w:sz w:val="22"/>
          <w:szCs w:val="22"/>
          <w:lang w:val="en-US"/>
        </w:rPr>
        <w:tab/>
      </w:r>
      <w:r w:rsidR="00186495" w:rsidRPr="00E065F5">
        <w:rPr>
          <w:sz w:val="22"/>
          <w:szCs w:val="22"/>
          <w:lang w:val="en-US"/>
        </w:rPr>
        <w:t>8</w:t>
      </w:r>
      <w:r w:rsidR="00D537E4" w:rsidRPr="00E065F5">
        <w:rPr>
          <w:sz w:val="22"/>
          <w:szCs w:val="22"/>
          <w:lang w:val="en-US"/>
        </w:rPr>
        <w:t>.</w:t>
      </w:r>
      <w:r w:rsidR="00186495" w:rsidRPr="00E065F5">
        <w:rPr>
          <w:sz w:val="22"/>
          <w:szCs w:val="22"/>
          <w:lang w:val="en-US"/>
        </w:rPr>
        <w:t>9</w:t>
      </w:r>
      <w:r w:rsidR="00D537E4" w:rsidRPr="00E065F5">
        <w:rPr>
          <w:sz w:val="22"/>
          <w:szCs w:val="22"/>
          <w:lang w:val="en-US"/>
        </w:rPr>
        <w:t>.</w:t>
      </w:r>
      <w:r w:rsidR="00186495" w:rsidRPr="00E065F5">
        <w:rPr>
          <w:sz w:val="22"/>
          <w:szCs w:val="22"/>
          <w:lang w:val="en-US"/>
        </w:rPr>
        <w:t>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511CD5AF"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52973735"/>
      <w:r w:rsidR="00770C89" w:rsidRPr="00770C89">
        <w:rPr>
          <w:sz w:val="22"/>
          <w:szCs w:val="22"/>
        </w:rPr>
        <w:t xml:space="preserve">Support </w:t>
      </w:r>
      <w:r w:rsidR="002E1ACE">
        <w:rPr>
          <w:sz w:val="22"/>
          <w:szCs w:val="22"/>
        </w:rPr>
        <w:t>of</w:t>
      </w:r>
      <w:r w:rsidR="00770C89" w:rsidRPr="00770C89">
        <w:rPr>
          <w:sz w:val="22"/>
          <w:szCs w:val="22"/>
        </w:rPr>
        <w:t xml:space="preserve"> </w:t>
      </w:r>
      <w:r w:rsidR="00D53AC8" w:rsidRPr="00D53AC8">
        <w:rPr>
          <w:sz w:val="22"/>
          <w:szCs w:val="22"/>
        </w:rPr>
        <w:t xml:space="preserve">16-QAM </w:t>
      </w:r>
      <w:r w:rsidR="00011D2B">
        <w:rPr>
          <w:sz w:val="22"/>
          <w:szCs w:val="22"/>
        </w:rPr>
        <w:t xml:space="preserve">for unicast </w:t>
      </w:r>
      <w:r w:rsidR="00D53AC8" w:rsidRPr="00D53AC8">
        <w:rPr>
          <w:sz w:val="22"/>
          <w:szCs w:val="22"/>
        </w:rPr>
        <w:t xml:space="preserve">in UL and DL </w:t>
      </w:r>
      <w:r w:rsidR="00E830BD">
        <w:rPr>
          <w:sz w:val="22"/>
          <w:szCs w:val="22"/>
        </w:rPr>
        <w:t>in</w:t>
      </w:r>
      <w:r w:rsidR="00770C89" w:rsidRPr="00770C89">
        <w:rPr>
          <w:sz w:val="22"/>
          <w:szCs w:val="22"/>
        </w:rPr>
        <w:t xml:space="preserve"> </w:t>
      </w:r>
      <w:r w:rsidR="00D53AC8">
        <w:rPr>
          <w:sz w:val="22"/>
          <w:szCs w:val="22"/>
        </w:rPr>
        <w:t>NB-IoT</w:t>
      </w:r>
      <w:bookmarkEnd w:id="0"/>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9EE0E59" w14:textId="48E2253A" w:rsidR="00770C89" w:rsidRPr="00D0713C" w:rsidRDefault="00A359F7" w:rsidP="00770C89">
      <w:pPr>
        <w:pStyle w:val="BodyText"/>
        <w:rPr>
          <w:rFonts w:ascii="Times New Roman" w:hAnsi="Times New Roman"/>
        </w:rPr>
      </w:pPr>
      <w:r w:rsidRPr="00D0713C">
        <w:rPr>
          <w:rFonts w:ascii="Times New Roman" w:hAnsi="Times New Roman"/>
        </w:rPr>
        <w:t>In t</w:t>
      </w:r>
      <w:r w:rsidR="00C95A0D" w:rsidRPr="00D0713C">
        <w:rPr>
          <w:rFonts w:ascii="Times New Roman" w:hAnsi="Times New Roman"/>
        </w:rPr>
        <w:t>he</w:t>
      </w:r>
      <w:r w:rsidR="001317D4" w:rsidRPr="00D0713C">
        <w:rPr>
          <w:rFonts w:ascii="Times New Roman" w:hAnsi="Times New Roman"/>
        </w:rPr>
        <w:t xml:space="preserve"> </w:t>
      </w:r>
      <w:r w:rsidR="00770C89" w:rsidRPr="00D0713C">
        <w:rPr>
          <w:rFonts w:ascii="Times New Roman" w:hAnsi="Times New Roman"/>
        </w:rPr>
        <w:t>Work Item (WI) on “</w:t>
      </w:r>
      <w:r w:rsidR="00D53AC8" w:rsidRPr="00D53AC8">
        <w:rPr>
          <w:rFonts w:ascii="Times New Roman" w:hAnsi="Times New Roman"/>
        </w:rPr>
        <w:t>Rel-17 enhancements for NB-IoT and LTE-MTC</w:t>
      </w:r>
      <w:r w:rsidR="00770C89" w:rsidRPr="00D0713C">
        <w:rPr>
          <w:rFonts w:ascii="Times New Roman" w:hAnsi="Times New Roman"/>
        </w:rPr>
        <w:t xml:space="preserve">” </w:t>
      </w:r>
      <w:r w:rsidR="00FB4A6C" w:rsidRPr="00D0713C">
        <w:rPr>
          <w:rFonts w:ascii="Times New Roman" w:hAnsi="Times New Roman"/>
        </w:rPr>
        <w:fldChar w:fldCharType="begin"/>
      </w:r>
      <w:r w:rsidR="00FB4A6C" w:rsidRPr="00D0713C">
        <w:rPr>
          <w:rFonts w:ascii="Times New Roman" w:hAnsi="Times New Roman"/>
        </w:rPr>
        <w:instrText xml:space="preserve"> REF _Ref525929513 \n \h </w:instrText>
      </w:r>
      <w:r w:rsidR="00E36C2C" w:rsidRPr="00D0713C">
        <w:rPr>
          <w:rFonts w:ascii="Times New Roman" w:hAnsi="Times New Roman"/>
        </w:rPr>
        <w:instrText xml:space="preserve"> \* MERGEFORMAT </w:instrText>
      </w:r>
      <w:r w:rsidR="00FB4A6C" w:rsidRPr="00D0713C">
        <w:rPr>
          <w:rFonts w:ascii="Times New Roman" w:hAnsi="Times New Roman"/>
        </w:rPr>
      </w:r>
      <w:r w:rsidR="00FB4A6C" w:rsidRPr="00D0713C">
        <w:rPr>
          <w:rFonts w:ascii="Times New Roman" w:hAnsi="Times New Roman"/>
        </w:rPr>
        <w:fldChar w:fldCharType="separate"/>
      </w:r>
      <w:r w:rsidR="00FB4A6C" w:rsidRPr="00D0713C">
        <w:rPr>
          <w:rFonts w:ascii="Times New Roman" w:hAnsi="Times New Roman"/>
        </w:rPr>
        <w:t>[1]</w:t>
      </w:r>
      <w:r w:rsidR="00FB4A6C" w:rsidRPr="00D0713C">
        <w:rPr>
          <w:rFonts w:ascii="Times New Roman" w:hAnsi="Times New Roman"/>
        </w:rPr>
        <w:fldChar w:fldCharType="end"/>
      </w:r>
      <w:r w:rsidR="00FB4A6C" w:rsidRPr="00D0713C">
        <w:rPr>
          <w:rFonts w:ascii="Times New Roman" w:hAnsi="Times New Roman"/>
        </w:rPr>
        <w:t>,</w:t>
      </w:r>
      <w:r w:rsidR="00DE0F8B" w:rsidRPr="00D0713C">
        <w:rPr>
          <w:rFonts w:ascii="Times New Roman" w:hAnsi="Times New Roman"/>
        </w:rPr>
        <w:t xml:space="preserve"> </w:t>
      </w:r>
      <w:r w:rsidR="00770C89" w:rsidRPr="00D0713C">
        <w:rPr>
          <w:rFonts w:ascii="Times New Roman" w:hAnsi="Times New Roman"/>
        </w:rPr>
        <w:t xml:space="preserve">one </w:t>
      </w:r>
      <w:r w:rsidR="00DE0F8B" w:rsidRPr="00D0713C">
        <w:rPr>
          <w:rFonts w:ascii="Times New Roman" w:hAnsi="Times New Roman"/>
        </w:rPr>
        <w:t xml:space="preserve">of the </w:t>
      </w:r>
      <w:r w:rsidR="00770C89" w:rsidRPr="00D0713C">
        <w:rPr>
          <w:rFonts w:ascii="Times New Roman" w:hAnsi="Times New Roman"/>
        </w:rPr>
        <w:t>objective</w:t>
      </w:r>
      <w:r w:rsidR="00DE0F8B" w:rsidRPr="00D0713C">
        <w:rPr>
          <w:rFonts w:ascii="Times New Roman" w:hAnsi="Times New Roman"/>
        </w:rPr>
        <w:t>s</w:t>
      </w:r>
      <w:r w:rsidR="00770C89" w:rsidRPr="00D0713C">
        <w:rPr>
          <w:rFonts w:ascii="Times New Roman" w:hAnsi="Times New Roman"/>
        </w:rPr>
        <w:t xml:space="preserve"> is to specify the following </w:t>
      </w:r>
      <w:r w:rsidR="00011D2B">
        <w:rPr>
          <w:rFonts w:ascii="Times New Roman" w:hAnsi="Times New Roman"/>
        </w:rPr>
        <w:t xml:space="preserve">enhancement </w:t>
      </w:r>
      <w:r w:rsidR="00770C89" w:rsidRPr="00D0713C">
        <w:rPr>
          <w:rFonts w:ascii="Times New Roman" w:hAnsi="Times New Roman"/>
        </w:rPr>
        <w:t xml:space="preserve">for </w:t>
      </w:r>
      <w:r w:rsidR="00011D2B">
        <w:rPr>
          <w:rFonts w:ascii="Times New Roman" w:hAnsi="Times New Roman"/>
        </w:rPr>
        <w:t>NB-IoT</w:t>
      </w:r>
      <w:r w:rsidR="00770C89" w:rsidRPr="00D0713C">
        <w:rPr>
          <w:rFonts w:ascii="Times New Roman" w:hAnsi="Times New Roman"/>
        </w:rPr>
        <w:t>:</w:t>
      </w:r>
    </w:p>
    <w:tbl>
      <w:tblPr>
        <w:tblStyle w:val="TableGrid"/>
        <w:tblW w:w="9655" w:type="dxa"/>
        <w:tblBorders>
          <w:top w:val="double" w:sz="4" w:space="0" w:color="auto"/>
        </w:tblBorders>
        <w:tblLook w:val="04A0" w:firstRow="1" w:lastRow="0" w:firstColumn="1" w:lastColumn="0" w:noHBand="0" w:noVBand="1"/>
      </w:tblPr>
      <w:tblGrid>
        <w:gridCol w:w="9655"/>
      </w:tblGrid>
      <w:tr w:rsidR="00770C89" w14:paraId="6FF1884E" w14:textId="77777777" w:rsidTr="0045699F">
        <w:trPr>
          <w:trHeight w:val="1840"/>
        </w:trPr>
        <w:tc>
          <w:tcPr>
            <w:tcW w:w="9655" w:type="dxa"/>
            <w:tcBorders>
              <w:top w:val="double" w:sz="4" w:space="0" w:color="auto"/>
              <w:left w:val="single" w:sz="4" w:space="0" w:color="auto"/>
              <w:bottom w:val="single" w:sz="4" w:space="0" w:color="auto"/>
              <w:right w:val="single" w:sz="4" w:space="0" w:color="auto"/>
            </w:tcBorders>
            <w:hideMark/>
          </w:tcPr>
          <w:p w14:paraId="6D8F0688" w14:textId="77777777" w:rsidR="00011D2B" w:rsidRPr="00011D2B" w:rsidRDefault="00011D2B" w:rsidP="00687698">
            <w:pPr>
              <w:widowControl w:val="0"/>
              <w:numPr>
                <w:ilvl w:val="0"/>
                <w:numId w:val="16"/>
              </w:numPr>
              <w:overflowPunct/>
              <w:autoSpaceDE/>
              <w:autoSpaceDN/>
              <w:adjustRightInd/>
              <w:spacing w:after="0" w:line="360" w:lineRule="auto"/>
              <w:contextualSpacing/>
              <w:jc w:val="both"/>
              <w:textAlignment w:val="auto"/>
              <w:rPr>
                <w:rFonts w:eastAsia="DengXian"/>
                <w:sz w:val="18"/>
                <w:lang w:val="en-US" w:eastAsia="zh-CN"/>
              </w:rPr>
            </w:pPr>
            <w:r w:rsidRPr="00011D2B">
              <w:rPr>
                <w:rFonts w:eastAsia="DengXian"/>
                <w:sz w:val="18"/>
                <w:lang w:val="en-US" w:eastAsia="zh-CN"/>
              </w:rPr>
              <w:t xml:space="preserve">Specify 16-QAM for unicast in UL and DL, including necessary changes to DL power allocation for NPDSCH and DL TBS. </w:t>
            </w:r>
            <w:bookmarkStart w:id="1" w:name="_Hlk30583880"/>
            <w:r w:rsidRPr="00011D2B">
              <w:rPr>
                <w:rFonts w:eastAsia="DengXian"/>
                <w:sz w:val="18"/>
                <w:lang w:val="en-US" w:eastAsia="zh-CN"/>
              </w:rPr>
              <w:t>This is to be specified without a new NB-IoT UE category</w:t>
            </w:r>
            <w:bookmarkEnd w:id="1"/>
            <w:r w:rsidRPr="00011D2B">
              <w:rPr>
                <w:rFonts w:eastAsia="DengXian"/>
                <w:sz w:val="18"/>
                <w:lang w:val="en-US" w:eastAsia="zh-CN"/>
              </w:rPr>
              <w:t xml:space="preserve">. For DL, </w:t>
            </w:r>
            <w:r w:rsidRPr="00011D2B">
              <w:rPr>
                <w:sz w:val="18"/>
                <w:lang w:val="en-US" w:eastAsia="zh-CN"/>
              </w:rPr>
              <w:t xml:space="preserve">increase in maximum TBS of e.g. 2x the Rel-16 maximum, and soft buffer size will be specified by modifying at least existing </w:t>
            </w:r>
            <w:bookmarkStart w:id="2" w:name="_Hlk30584214"/>
            <w:r w:rsidRPr="00011D2B">
              <w:rPr>
                <w:sz w:val="18"/>
                <w:lang w:val="en-US" w:eastAsia="zh-CN"/>
              </w:rPr>
              <w:t>Category NB2</w:t>
            </w:r>
            <w:bookmarkEnd w:id="2"/>
            <w:r w:rsidRPr="00011D2B">
              <w:rPr>
                <w:sz w:val="18"/>
                <w:lang w:val="en-US" w:eastAsia="zh-CN"/>
              </w:rPr>
              <w:t>. For UL, the maximum TBS is not increased.</w:t>
            </w:r>
            <w:r w:rsidRPr="00011D2B">
              <w:rPr>
                <w:rFonts w:eastAsia="DengXian"/>
                <w:sz w:val="18"/>
                <w:lang w:val="en-US" w:eastAsia="zh-CN"/>
              </w:rPr>
              <w:t xml:space="preserve"> [NB-IoT] [RAN1, RAN4]</w:t>
            </w:r>
          </w:p>
          <w:p w14:paraId="1E5CFA0D" w14:textId="06D426EE" w:rsidR="00B74A08" w:rsidRPr="0045699F" w:rsidRDefault="00011D2B" w:rsidP="00687698">
            <w:pPr>
              <w:widowControl w:val="0"/>
              <w:numPr>
                <w:ilvl w:val="1"/>
                <w:numId w:val="16"/>
              </w:numPr>
              <w:overflowPunct/>
              <w:autoSpaceDE/>
              <w:autoSpaceDN/>
              <w:adjustRightInd/>
              <w:spacing w:after="0" w:line="360" w:lineRule="auto"/>
              <w:contextualSpacing/>
              <w:jc w:val="both"/>
              <w:textAlignment w:val="auto"/>
              <w:rPr>
                <w:rFonts w:eastAsia="DengXian"/>
                <w:sz w:val="18"/>
                <w:lang w:val="en-US" w:eastAsia="zh-CN"/>
              </w:rPr>
            </w:pPr>
            <w:r w:rsidRPr="00011D2B">
              <w:rPr>
                <w:rFonts w:eastAsia="DengXian"/>
                <w:sz w:val="18"/>
                <w:lang w:val="en-US" w:eastAsia="zh-CN"/>
              </w:rPr>
              <w:t xml:space="preserve">Extend the NB-IoT channel quality reporting based on the framework of Rel-14—16, to support 16-QAM in DL. [NB-IoT] [RAN2, RAN1, RAN4] </w:t>
            </w:r>
          </w:p>
        </w:tc>
      </w:tr>
    </w:tbl>
    <w:p w14:paraId="00FBD6F6" w14:textId="77777777" w:rsidR="00A13A1B" w:rsidRDefault="00A13A1B" w:rsidP="00770C89">
      <w:pPr>
        <w:pStyle w:val="BodyText"/>
        <w:rPr>
          <w:rFonts w:ascii="Times New Roman" w:hAnsi="Times New Roman"/>
        </w:rPr>
      </w:pPr>
    </w:p>
    <w:p w14:paraId="0C19DABD" w14:textId="29B34E21" w:rsidR="009D037C" w:rsidRDefault="0018159A" w:rsidP="00770C89">
      <w:pPr>
        <w:pStyle w:val="BodyText"/>
        <w:rPr>
          <w:rFonts w:ascii="Times New Roman" w:hAnsi="Times New Roman"/>
        </w:rPr>
      </w:pPr>
      <w:r w:rsidRPr="00D0713C">
        <w:rPr>
          <w:rFonts w:ascii="Times New Roman" w:hAnsi="Times New Roman"/>
        </w:rPr>
        <w:t xml:space="preserve">In </w:t>
      </w:r>
      <w:r>
        <w:rPr>
          <w:rFonts w:ascii="Times New Roman" w:hAnsi="Times New Roman"/>
        </w:rPr>
        <w:t>RAN1 #10</w:t>
      </w:r>
      <w:r w:rsidR="00893BC6">
        <w:rPr>
          <w:rFonts w:ascii="Times New Roman" w:hAnsi="Times New Roman"/>
        </w:rPr>
        <w:t>4</w:t>
      </w:r>
      <w:r w:rsidR="001F0D47">
        <w:rPr>
          <w:rFonts w:ascii="Times New Roman" w:hAnsi="Times New Roman"/>
        </w:rPr>
        <w:t>-bis</w:t>
      </w:r>
      <w:r w:rsidR="004C119F">
        <w:rPr>
          <w:rFonts w:ascii="Times New Roman" w:hAnsi="Times New Roman"/>
        </w:rPr>
        <w:t>-</w:t>
      </w:r>
      <w:r>
        <w:rPr>
          <w:rFonts w:ascii="Times New Roman" w:hAnsi="Times New Roman"/>
        </w:rPr>
        <w:t>e, a set of agreements were made for both UL and DL [2]. In this contribution we go through each of th</w:t>
      </w:r>
      <w:r w:rsidR="004C119F">
        <w:rPr>
          <w:rFonts w:ascii="Times New Roman" w:hAnsi="Times New Roman"/>
        </w:rPr>
        <w:t>os</w:t>
      </w:r>
      <w:r>
        <w:rPr>
          <w:rFonts w:ascii="Times New Roman" w:hAnsi="Times New Roman"/>
        </w:rPr>
        <w:t xml:space="preserve">e agreements as to provide our view on the technical aspects that </w:t>
      </w:r>
      <w:r w:rsidR="001F0D47">
        <w:rPr>
          <w:rFonts w:ascii="Times New Roman" w:hAnsi="Times New Roman"/>
        </w:rPr>
        <w:t>will be followed-up</w:t>
      </w:r>
      <w:r>
        <w:rPr>
          <w:rFonts w:ascii="Times New Roman" w:hAnsi="Times New Roman"/>
        </w:rPr>
        <w:t>. In the sections b</w:t>
      </w:r>
      <w:r w:rsidR="009664BF">
        <w:rPr>
          <w:rFonts w:ascii="Times New Roman" w:hAnsi="Times New Roman"/>
        </w:rPr>
        <w:t xml:space="preserve">elow we treat UL and DL </w:t>
      </w:r>
      <w:r w:rsidR="009664BF" w:rsidRPr="009664BF">
        <w:rPr>
          <w:rFonts w:ascii="Times New Roman" w:hAnsi="Times New Roman"/>
        </w:rPr>
        <w:t>separately starting with the</w:t>
      </w:r>
      <w:r w:rsidR="00F83E46">
        <w:rPr>
          <w:rFonts w:ascii="Times New Roman" w:hAnsi="Times New Roman"/>
        </w:rPr>
        <w:t xml:space="preserve"> </w:t>
      </w:r>
      <w:r>
        <w:rPr>
          <w:rFonts w:ascii="Times New Roman" w:hAnsi="Times New Roman"/>
        </w:rPr>
        <w:t xml:space="preserve">latter </w:t>
      </w:r>
      <w:r w:rsidR="005301E9">
        <w:rPr>
          <w:rFonts w:ascii="Times New Roman" w:hAnsi="Times New Roman"/>
        </w:rPr>
        <w:t>one</w:t>
      </w:r>
      <w:r w:rsidR="001361F4">
        <w:rPr>
          <w:rFonts w:ascii="Times New Roman" w:hAnsi="Times New Roman"/>
        </w:rPr>
        <w:t>.</w:t>
      </w:r>
    </w:p>
    <w:p w14:paraId="3122510F" w14:textId="6953689C" w:rsidR="00F83E46" w:rsidRDefault="006119AE" w:rsidP="00F83E46">
      <w:pPr>
        <w:pStyle w:val="Heading1"/>
      </w:pPr>
      <w:r>
        <w:t>2</w:t>
      </w:r>
      <w:r w:rsidR="00F83E46">
        <w:tab/>
        <w:t xml:space="preserve">Support </w:t>
      </w:r>
      <w:r w:rsidR="00F01D55">
        <w:t>o</w:t>
      </w:r>
      <w:r w:rsidR="00F83E46">
        <w:t xml:space="preserve">f 16-QAM for unicast in </w:t>
      </w:r>
      <w:r w:rsidR="00005F00">
        <w:t>D</w:t>
      </w:r>
      <w:r w:rsidR="00F83E46">
        <w:t>L</w:t>
      </w:r>
    </w:p>
    <w:p w14:paraId="53A386E3" w14:textId="66EBCAD0" w:rsidR="00BD0418" w:rsidRDefault="006119AE" w:rsidP="00B304A9">
      <w:pPr>
        <w:pStyle w:val="Heading2"/>
      </w:pPr>
      <w:r>
        <w:t>2</w:t>
      </w:r>
      <w:r w:rsidR="00F83E46">
        <w:t>.1</w:t>
      </w:r>
      <w:r w:rsidR="00F83E46">
        <w:tab/>
      </w:r>
      <w:r w:rsidR="001F0D47">
        <w:t>DCI design</w:t>
      </w:r>
      <w:r w:rsidR="00BD0418" w:rsidRPr="00BD0418">
        <w:t xml:space="preserve"> to support 16QAM in DL</w:t>
      </w:r>
    </w:p>
    <w:p w14:paraId="5E840986" w14:textId="515F9D0E" w:rsidR="00BD0418" w:rsidRDefault="005C1833" w:rsidP="00F83E46">
      <w:pPr>
        <w:jc w:val="both"/>
      </w:pPr>
      <w:r>
        <w:t>In RAN1 #10</w:t>
      </w:r>
      <w:r w:rsidR="00B33EF9">
        <w:t>4</w:t>
      </w:r>
      <w:r w:rsidR="001F0D47">
        <w:t>-bis</w:t>
      </w:r>
      <w:r w:rsidR="009C1531">
        <w:t>-</w:t>
      </w:r>
      <w:r>
        <w:t>e,</w:t>
      </w:r>
      <w:r w:rsidR="00B304A9">
        <w:t xml:space="preserve"> the Working Assumption</w:t>
      </w:r>
      <w:r w:rsidR="00B33EF9">
        <w:t xml:space="preserve"> (WA) </w:t>
      </w:r>
      <w:r w:rsidR="00B304A9">
        <w:t xml:space="preserve">in relation to the </w:t>
      </w:r>
      <w:r w:rsidRPr="005C1833">
        <w:t>TBS/MCS table desig</w:t>
      </w:r>
      <w:r w:rsidR="00B304A9">
        <w:t xml:space="preserve">n </w:t>
      </w:r>
      <w:r w:rsidRPr="005C1833">
        <w:t>to support 16</w:t>
      </w:r>
      <w:r w:rsidR="00631DF9">
        <w:t>-</w:t>
      </w:r>
      <w:r w:rsidRPr="005C1833">
        <w:t>QAM in DL</w:t>
      </w:r>
      <w:r w:rsidR="00B33EF9">
        <w:t xml:space="preserve"> was </w:t>
      </w:r>
      <w:r w:rsidR="001F0D47">
        <w:t xml:space="preserve">confirmed </w:t>
      </w:r>
      <w:r w:rsidR="00B33EF9">
        <w:t>as follows</w:t>
      </w:r>
      <w:r w:rsidRPr="005C1833">
        <w:t xml:space="preserve"> </w:t>
      </w:r>
      <w:r w:rsidR="00631DF9">
        <w:t>[</w:t>
      </w:r>
      <w:r w:rsidR="00C13C49">
        <w:t>2</w:t>
      </w:r>
      <w:r w:rsidR="00631DF9">
        <w:t>]</w:t>
      </w:r>
      <w:r>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631DF9" w14:paraId="4BEEC006" w14:textId="77777777" w:rsidTr="59C2A3C1">
        <w:tc>
          <w:tcPr>
            <w:tcW w:w="9629" w:type="dxa"/>
          </w:tcPr>
          <w:p w14:paraId="1F54C9CB" w14:textId="7749608F" w:rsidR="00631DF9" w:rsidRDefault="00631DF9" w:rsidP="00B33EF9">
            <w:pPr>
              <w:wordWrap w:val="0"/>
              <w:overflowPunct/>
              <w:autoSpaceDE/>
              <w:autoSpaceDN/>
              <w:adjustRightInd/>
              <w:spacing w:after="0"/>
              <w:jc w:val="both"/>
              <w:textAlignment w:val="auto"/>
              <w:rPr>
                <w:rFonts w:cs="Times"/>
                <w:sz w:val="18"/>
                <w:szCs w:val="16"/>
              </w:rPr>
            </w:pPr>
          </w:p>
          <w:p w14:paraId="1ECD040D" w14:textId="77777777" w:rsidR="001F0D47" w:rsidRPr="00684B75" w:rsidRDefault="001F0D47" w:rsidP="001F0D47">
            <w:pPr>
              <w:overflowPunct/>
              <w:autoSpaceDE/>
              <w:autoSpaceDN/>
              <w:adjustRightInd/>
              <w:spacing w:after="0"/>
              <w:textAlignment w:val="auto"/>
              <w:rPr>
                <w:rFonts w:ascii="Times" w:eastAsia="Batang" w:hAnsi="Times"/>
                <w:b/>
                <w:bCs/>
                <w:sz w:val="18"/>
                <w:szCs w:val="18"/>
                <w:highlight w:val="green"/>
                <w:lang w:eastAsia="x-none"/>
              </w:rPr>
            </w:pPr>
            <w:r w:rsidRPr="00684B75">
              <w:rPr>
                <w:rFonts w:ascii="Times" w:eastAsia="Batang" w:hAnsi="Times"/>
                <w:b/>
                <w:bCs/>
                <w:sz w:val="18"/>
                <w:szCs w:val="18"/>
                <w:highlight w:val="green"/>
                <w:lang w:eastAsia="x-none"/>
              </w:rPr>
              <w:t>Agreement</w:t>
            </w:r>
          </w:p>
          <w:p w14:paraId="3A213A6B" w14:textId="77777777" w:rsidR="001F0D47" w:rsidRPr="00684B75" w:rsidRDefault="001F0D47" w:rsidP="001F0D47">
            <w:pPr>
              <w:overflowPunct/>
              <w:autoSpaceDE/>
              <w:autoSpaceDN/>
              <w:adjustRightInd/>
              <w:spacing w:after="0"/>
              <w:textAlignment w:val="auto"/>
              <w:rPr>
                <w:rFonts w:ascii="Times" w:eastAsia="Batang" w:hAnsi="Times"/>
                <w:sz w:val="18"/>
                <w:szCs w:val="18"/>
                <w:lang w:eastAsia="en-US"/>
              </w:rPr>
            </w:pPr>
            <w:r w:rsidRPr="00684B75">
              <w:rPr>
                <w:rFonts w:ascii="Times" w:eastAsia="Batang" w:hAnsi="Times"/>
                <w:sz w:val="18"/>
                <w:szCs w:val="18"/>
                <w:lang w:eastAsia="en-US"/>
              </w:rPr>
              <w:t>Confirm the working assumption that the following TBS indices are introduced for downlink with modification in 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696"/>
              <w:gridCol w:w="536"/>
              <w:gridCol w:w="536"/>
              <w:gridCol w:w="536"/>
              <w:gridCol w:w="536"/>
              <w:gridCol w:w="536"/>
              <w:gridCol w:w="536"/>
              <w:gridCol w:w="536"/>
            </w:tblGrid>
            <w:tr w:rsidR="001F0D47" w:rsidRPr="001F0D47" w14:paraId="5B824DC9" w14:textId="77777777" w:rsidTr="59C2A3C1">
              <w:trPr>
                <w:cantSplit/>
                <w:jc w:val="center"/>
              </w:trPr>
              <w:tc>
                <w:tcPr>
                  <w:tcW w:w="652" w:type="dxa"/>
                  <w:vMerge w:val="restart"/>
                  <w:tcBorders>
                    <w:right w:val="double" w:sz="4" w:space="0" w:color="auto"/>
                  </w:tcBorders>
                  <w:shd w:val="clear" w:color="auto" w:fill="E0E0E0"/>
                  <w:vAlign w:val="center"/>
                </w:tcPr>
                <w:p w14:paraId="27CAF097" w14:textId="77777777" w:rsidR="001F0D47" w:rsidRPr="001F0D47" w:rsidRDefault="008E407C" w:rsidP="001F0D47">
                  <w:pPr>
                    <w:keepNext/>
                    <w:keepLines/>
                    <w:spacing w:after="0"/>
                    <w:jc w:val="center"/>
                    <w:rPr>
                      <w:rFonts w:eastAsia="Times New Roman"/>
                      <w:b/>
                      <w:sz w:val="18"/>
                      <w:szCs w:val="18"/>
                      <w:lang w:eastAsia="en-US"/>
                    </w:rPr>
                  </w:pPr>
                  <w:r>
                    <w:rPr>
                      <w:rFonts w:eastAsia="Times New Roman"/>
                      <w:b/>
                      <w:position w:val="-10"/>
                      <w:sz w:val="18"/>
                      <w:szCs w:val="18"/>
                      <w:lang w:eastAsia="en-US"/>
                    </w:rPr>
                    <w:pict w14:anchorId="15432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v:imagedata r:id="rId13" o:title=""/>
                      </v:shape>
                    </w:pict>
                  </w:r>
                </w:p>
              </w:tc>
              <w:tc>
                <w:tcPr>
                  <w:tcW w:w="0" w:type="auto"/>
                  <w:gridSpan w:val="8"/>
                  <w:tcBorders>
                    <w:left w:val="double" w:sz="4" w:space="0" w:color="auto"/>
                  </w:tcBorders>
                  <w:shd w:val="clear" w:color="auto" w:fill="E0E0E0"/>
                  <w:vAlign w:val="center"/>
                </w:tcPr>
                <w:p w14:paraId="2F7CA2E7" w14:textId="77777777" w:rsidR="001F0D47" w:rsidRPr="001F0D47" w:rsidRDefault="008E407C" w:rsidP="001F0D47">
                  <w:pPr>
                    <w:keepNext/>
                    <w:keepLines/>
                    <w:spacing w:after="0"/>
                    <w:jc w:val="center"/>
                    <w:rPr>
                      <w:rFonts w:eastAsia="Times New Roman"/>
                      <w:b/>
                      <w:sz w:val="18"/>
                      <w:szCs w:val="18"/>
                      <w:lang w:eastAsia="en-US"/>
                    </w:rPr>
                  </w:pPr>
                  <w:r>
                    <w:rPr>
                      <w:rFonts w:eastAsia="Times New Roman"/>
                      <w:b/>
                      <w:position w:val="-12"/>
                      <w:sz w:val="18"/>
                      <w:lang w:eastAsia="en-US"/>
                    </w:rPr>
                    <w:pict w14:anchorId="4C3B6CE2">
                      <v:shape id="_x0000_i1026" type="#_x0000_t75" style="width:14.4pt;height:21.9pt">
                        <v:imagedata r:id="rId14" o:title=""/>
                      </v:shape>
                    </w:pict>
                  </w:r>
                </w:p>
              </w:tc>
            </w:tr>
            <w:tr w:rsidR="001F0D47" w:rsidRPr="001F0D47" w14:paraId="34464BD3" w14:textId="77777777" w:rsidTr="59C2A3C1">
              <w:trPr>
                <w:cantSplit/>
                <w:jc w:val="center"/>
              </w:trPr>
              <w:tc>
                <w:tcPr>
                  <w:tcW w:w="652" w:type="dxa"/>
                  <w:vMerge/>
                  <w:vAlign w:val="center"/>
                </w:tcPr>
                <w:p w14:paraId="30EEF801" w14:textId="77777777" w:rsidR="001F0D47" w:rsidRPr="001F0D47" w:rsidRDefault="001F0D47" w:rsidP="001F0D47">
                  <w:pPr>
                    <w:keepNext/>
                    <w:keepLines/>
                    <w:spacing w:after="0"/>
                    <w:jc w:val="center"/>
                    <w:rPr>
                      <w:rFonts w:eastAsia="Times New Roman"/>
                      <w:b/>
                      <w:sz w:val="18"/>
                      <w:szCs w:val="18"/>
                      <w:lang w:eastAsia="en-US"/>
                    </w:rPr>
                  </w:pPr>
                </w:p>
              </w:tc>
              <w:tc>
                <w:tcPr>
                  <w:tcW w:w="0" w:type="auto"/>
                  <w:tcBorders>
                    <w:left w:val="double" w:sz="4" w:space="0" w:color="auto"/>
                    <w:bottom w:val="double" w:sz="4" w:space="0" w:color="auto"/>
                  </w:tcBorders>
                  <w:shd w:val="clear" w:color="auto" w:fill="E0E0E0"/>
                  <w:vAlign w:val="center"/>
                </w:tcPr>
                <w:p w14:paraId="5AAD0BFD" w14:textId="77777777" w:rsidR="001F0D47" w:rsidRPr="001F0D47" w:rsidRDefault="001F0D47" w:rsidP="001F0D47">
                  <w:pPr>
                    <w:keepNext/>
                    <w:keepLines/>
                    <w:spacing w:after="0"/>
                    <w:jc w:val="center"/>
                    <w:rPr>
                      <w:rFonts w:eastAsia="Times New Roman"/>
                      <w:b/>
                      <w:sz w:val="18"/>
                      <w:szCs w:val="18"/>
                      <w:lang w:eastAsia="en-US"/>
                    </w:rPr>
                  </w:pPr>
                  <w:r w:rsidRPr="001F0D47">
                    <w:rPr>
                      <w:rFonts w:eastAsia="Times New Roman"/>
                      <w:b/>
                      <w:sz w:val="18"/>
                      <w:szCs w:val="18"/>
                      <w:lang w:eastAsia="en-US"/>
                    </w:rPr>
                    <w:t>0</w:t>
                  </w:r>
                </w:p>
              </w:tc>
              <w:tc>
                <w:tcPr>
                  <w:tcW w:w="0" w:type="auto"/>
                  <w:tcBorders>
                    <w:bottom w:val="double" w:sz="4" w:space="0" w:color="auto"/>
                  </w:tcBorders>
                  <w:shd w:val="clear" w:color="auto" w:fill="E0E0E0"/>
                  <w:vAlign w:val="center"/>
                </w:tcPr>
                <w:p w14:paraId="3BB1C9A5" w14:textId="77777777" w:rsidR="001F0D47" w:rsidRPr="001F0D47" w:rsidRDefault="001F0D47" w:rsidP="001F0D47">
                  <w:pPr>
                    <w:keepNext/>
                    <w:keepLines/>
                    <w:spacing w:after="0"/>
                    <w:jc w:val="center"/>
                    <w:rPr>
                      <w:rFonts w:eastAsia="Times New Roman"/>
                      <w:b/>
                      <w:sz w:val="18"/>
                      <w:szCs w:val="18"/>
                      <w:lang w:eastAsia="en-US"/>
                    </w:rPr>
                  </w:pPr>
                  <w:r w:rsidRPr="001F0D47">
                    <w:rPr>
                      <w:rFonts w:eastAsia="Times New Roman"/>
                      <w:b/>
                      <w:sz w:val="18"/>
                      <w:szCs w:val="18"/>
                      <w:lang w:eastAsia="en-US"/>
                    </w:rPr>
                    <w:t>1</w:t>
                  </w:r>
                </w:p>
              </w:tc>
              <w:tc>
                <w:tcPr>
                  <w:tcW w:w="0" w:type="auto"/>
                  <w:tcBorders>
                    <w:bottom w:val="double" w:sz="4" w:space="0" w:color="auto"/>
                  </w:tcBorders>
                  <w:shd w:val="clear" w:color="auto" w:fill="E0E0E0"/>
                  <w:vAlign w:val="center"/>
                </w:tcPr>
                <w:p w14:paraId="2E918586" w14:textId="77777777" w:rsidR="001F0D47" w:rsidRPr="001F0D47" w:rsidRDefault="001F0D47" w:rsidP="001F0D47">
                  <w:pPr>
                    <w:keepNext/>
                    <w:keepLines/>
                    <w:spacing w:after="0"/>
                    <w:jc w:val="center"/>
                    <w:rPr>
                      <w:rFonts w:eastAsia="Times New Roman"/>
                      <w:b/>
                      <w:sz w:val="18"/>
                      <w:szCs w:val="18"/>
                      <w:lang w:eastAsia="en-US"/>
                    </w:rPr>
                  </w:pPr>
                  <w:r w:rsidRPr="001F0D47">
                    <w:rPr>
                      <w:rFonts w:eastAsia="Times New Roman"/>
                      <w:b/>
                      <w:sz w:val="18"/>
                      <w:szCs w:val="18"/>
                      <w:lang w:eastAsia="en-US"/>
                    </w:rPr>
                    <w:t>2</w:t>
                  </w:r>
                </w:p>
              </w:tc>
              <w:tc>
                <w:tcPr>
                  <w:tcW w:w="0" w:type="auto"/>
                  <w:tcBorders>
                    <w:bottom w:val="double" w:sz="4" w:space="0" w:color="auto"/>
                  </w:tcBorders>
                  <w:shd w:val="clear" w:color="auto" w:fill="E0E0E0"/>
                  <w:vAlign w:val="center"/>
                </w:tcPr>
                <w:p w14:paraId="1FBC4391" w14:textId="77777777" w:rsidR="001F0D47" w:rsidRPr="001F0D47" w:rsidRDefault="001F0D47" w:rsidP="001F0D47">
                  <w:pPr>
                    <w:keepNext/>
                    <w:keepLines/>
                    <w:spacing w:after="0"/>
                    <w:jc w:val="center"/>
                    <w:rPr>
                      <w:rFonts w:eastAsia="Times New Roman"/>
                      <w:b/>
                      <w:sz w:val="18"/>
                      <w:szCs w:val="18"/>
                      <w:lang w:eastAsia="en-US"/>
                    </w:rPr>
                  </w:pPr>
                  <w:r w:rsidRPr="001F0D47">
                    <w:rPr>
                      <w:rFonts w:eastAsia="Times New Roman"/>
                      <w:b/>
                      <w:sz w:val="18"/>
                      <w:szCs w:val="18"/>
                      <w:lang w:eastAsia="en-US"/>
                    </w:rPr>
                    <w:t>3</w:t>
                  </w:r>
                </w:p>
              </w:tc>
              <w:tc>
                <w:tcPr>
                  <w:tcW w:w="0" w:type="auto"/>
                  <w:tcBorders>
                    <w:bottom w:val="double" w:sz="4" w:space="0" w:color="auto"/>
                  </w:tcBorders>
                  <w:shd w:val="clear" w:color="auto" w:fill="E0E0E0"/>
                  <w:vAlign w:val="center"/>
                </w:tcPr>
                <w:p w14:paraId="1478DC02" w14:textId="77777777" w:rsidR="001F0D47" w:rsidRPr="001F0D47" w:rsidRDefault="001F0D47" w:rsidP="001F0D47">
                  <w:pPr>
                    <w:keepNext/>
                    <w:keepLines/>
                    <w:spacing w:after="0"/>
                    <w:jc w:val="center"/>
                    <w:rPr>
                      <w:rFonts w:eastAsia="Times New Roman"/>
                      <w:b/>
                      <w:sz w:val="18"/>
                      <w:szCs w:val="18"/>
                      <w:lang w:eastAsia="en-US"/>
                    </w:rPr>
                  </w:pPr>
                  <w:r w:rsidRPr="001F0D47">
                    <w:rPr>
                      <w:rFonts w:eastAsia="Times New Roman"/>
                      <w:b/>
                      <w:sz w:val="18"/>
                      <w:szCs w:val="18"/>
                      <w:lang w:eastAsia="en-US"/>
                    </w:rPr>
                    <w:t>4</w:t>
                  </w:r>
                </w:p>
              </w:tc>
              <w:tc>
                <w:tcPr>
                  <w:tcW w:w="0" w:type="auto"/>
                  <w:tcBorders>
                    <w:bottom w:val="double" w:sz="4" w:space="0" w:color="auto"/>
                  </w:tcBorders>
                  <w:shd w:val="clear" w:color="auto" w:fill="E0E0E0"/>
                  <w:vAlign w:val="center"/>
                </w:tcPr>
                <w:p w14:paraId="7B9CF364" w14:textId="77777777" w:rsidR="001F0D47" w:rsidRPr="001F0D47" w:rsidRDefault="001F0D47" w:rsidP="001F0D47">
                  <w:pPr>
                    <w:keepNext/>
                    <w:keepLines/>
                    <w:spacing w:after="0"/>
                    <w:jc w:val="center"/>
                    <w:rPr>
                      <w:rFonts w:eastAsia="Times New Roman"/>
                      <w:b/>
                      <w:sz w:val="18"/>
                      <w:szCs w:val="18"/>
                      <w:lang w:eastAsia="en-US"/>
                    </w:rPr>
                  </w:pPr>
                  <w:r w:rsidRPr="001F0D47">
                    <w:rPr>
                      <w:rFonts w:eastAsia="Times New Roman"/>
                      <w:b/>
                      <w:sz w:val="18"/>
                      <w:szCs w:val="18"/>
                      <w:lang w:eastAsia="en-US"/>
                    </w:rPr>
                    <w:t>5</w:t>
                  </w:r>
                </w:p>
              </w:tc>
              <w:tc>
                <w:tcPr>
                  <w:tcW w:w="0" w:type="auto"/>
                  <w:tcBorders>
                    <w:bottom w:val="double" w:sz="4" w:space="0" w:color="auto"/>
                  </w:tcBorders>
                  <w:shd w:val="clear" w:color="auto" w:fill="E0E0E0"/>
                  <w:vAlign w:val="center"/>
                </w:tcPr>
                <w:p w14:paraId="4F324C26" w14:textId="77777777" w:rsidR="001F0D47" w:rsidRPr="001F0D47" w:rsidRDefault="001F0D47" w:rsidP="001F0D47">
                  <w:pPr>
                    <w:keepNext/>
                    <w:keepLines/>
                    <w:spacing w:after="0"/>
                    <w:jc w:val="center"/>
                    <w:rPr>
                      <w:rFonts w:eastAsia="Times New Roman"/>
                      <w:b/>
                      <w:sz w:val="18"/>
                      <w:szCs w:val="18"/>
                      <w:lang w:eastAsia="en-US"/>
                    </w:rPr>
                  </w:pPr>
                  <w:r w:rsidRPr="001F0D47">
                    <w:rPr>
                      <w:rFonts w:eastAsia="Times New Roman"/>
                      <w:b/>
                      <w:sz w:val="18"/>
                      <w:szCs w:val="18"/>
                      <w:lang w:eastAsia="en-US"/>
                    </w:rPr>
                    <w:t>6</w:t>
                  </w:r>
                </w:p>
              </w:tc>
              <w:tc>
                <w:tcPr>
                  <w:tcW w:w="0" w:type="auto"/>
                  <w:tcBorders>
                    <w:bottom w:val="double" w:sz="4" w:space="0" w:color="auto"/>
                  </w:tcBorders>
                  <w:shd w:val="clear" w:color="auto" w:fill="E0E0E0"/>
                  <w:vAlign w:val="center"/>
                </w:tcPr>
                <w:p w14:paraId="57A01B5B" w14:textId="77777777" w:rsidR="001F0D47" w:rsidRPr="001F0D47" w:rsidRDefault="001F0D47" w:rsidP="001F0D47">
                  <w:pPr>
                    <w:keepNext/>
                    <w:keepLines/>
                    <w:spacing w:after="0"/>
                    <w:jc w:val="center"/>
                    <w:rPr>
                      <w:rFonts w:eastAsia="Times New Roman"/>
                      <w:b/>
                      <w:sz w:val="18"/>
                      <w:szCs w:val="18"/>
                      <w:lang w:eastAsia="en-US"/>
                    </w:rPr>
                  </w:pPr>
                  <w:r w:rsidRPr="001F0D47">
                    <w:rPr>
                      <w:rFonts w:eastAsia="Times New Roman"/>
                      <w:b/>
                      <w:sz w:val="18"/>
                      <w:szCs w:val="18"/>
                      <w:lang w:eastAsia="en-US"/>
                    </w:rPr>
                    <w:t>7</w:t>
                  </w:r>
                </w:p>
              </w:tc>
            </w:tr>
            <w:tr w:rsidR="001F0D47" w:rsidRPr="001F0D47" w14:paraId="55F52552" w14:textId="77777777" w:rsidTr="59C2A3C1">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7D7A85C" w14:textId="77777777" w:rsidR="001F0D47" w:rsidRPr="001F0D47" w:rsidRDefault="001F0D47" w:rsidP="001F0D47">
                  <w:pPr>
                    <w:overflowPunct/>
                    <w:autoSpaceDE/>
                    <w:autoSpaceDN/>
                    <w:adjustRightInd/>
                    <w:spacing w:after="0"/>
                    <w:jc w:val="center"/>
                    <w:textAlignment w:val="auto"/>
                    <w:rPr>
                      <w:rFonts w:eastAsia="Malgun Gothic"/>
                      <w:sz w:val="16"/>
                      <w:szCs w:val="16"/>
                      <w:lang w:eastAsia="zh-CN"/>
                    </w:rPr>
                  </w:pPr>
                  <w:r w:rsidRPr="001F0D47">
                    <w:rPr>
                      <w:rFonts w:eastAsia="Malgun Gothic"/>
                      <w:sz w:val="16"/>
                      <w:szCs w:val="16"/>
                      <w:lang w:eastAsia="zh-CN"/>
                    </w:rPr>
                    <w:t>14</w:t>
                  </w:r>
                </w:p>
              </w:tc>
              <w:tc>
                <w:tcPr>
                  <w:tcW w:w="0" w:type="auto"/>
                  <w:tcBorders>
                    <w:top w:val="single" w:sz="4" w:space="0" w:color="auto"/>
                    <w:left w:val="double" w:sz="4" w:space="0" w:color="auto"/>
                    <w:bottom w:val="single" w:sz="4" w:space="0" w:color="auto"/>
                    <w:right w:val="single" w:sz="4" w:space="0" w:color="auto"/>
                  </w:tcBorders>
                </w:tcPr>
                <w:p w14:paraId="77628891"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256</w:t>
                  </w:r>
                </w:p>
              </w:tc>
              <w:tc>
                <w:tcPr>
                  <w:tcW w:w="0" w:type="auto"/>
                  <w:tcBorders>
                    <w:top w:val="single" w:sz="4" w:space="0" w:color="auto"/>
                    <w:left w:val="single" w:sz="4" w:space="0" w:color="auto"/>
                    <w:bottom w:val="single" w:sz="4" w:space="0" w:color="auto"/>
                    <w:right w:val="single" w:sz="4" w:space="0" w:color="auto"/>
                  </w:tcBorders>
                </w:tcPr>
                <w:p w14:paraId="1A1E16E4"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552</w:t>
                  </w:r>
                </w:p>
              </w:tc>
              <w:tc>
                <w:tcPr>
                  <w:tcW w:w="0" w:type="auto"/>
                  <w:tcBorders>
                    <w:top w:val="single" w:sz="4" w:space="0" w:color="auto"/>
                    <w:left w:val="single" w:sz="4" w:space="0" w:color="auto"/>
                    <w:bottom w:val="single" w:sz="4" w:space="0" w:color="auto"/>
                    <w:right w:val="single" w:sz="4" w:space="0" w:color="auto"/>
                  </w:tcBorders>
                </w:tcPr>
                <w:p w14:paraId="0F60F82E"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840</w:t>
                  </w:r>
                </w:p>
              </w:tc>
              <w:tc>
                <w:tcPr>
                  <w:tcW w:w="0" w:type="auto"/>
                  <w:tcBorders>
                    <w:top w:val="single" w:sz="4" w:space="0" w:color="auto"/>
                    <w:left w:val="single" w:sz="4" w:space="0" w:color="auto"/>
                    <w:bottom w:val="single" w:sz="4" w:space="0" w:color="auto"/>
                    <w:right w:val="single" w:sz="4" w:space="0" w:color="auto"/>
                  </w:tcBorders>
                </w:tcPr>
                <w:p w14:paraId="161DBDE7"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1128</w:t>
                  </w:r>
                </w:p>
              </w:tc>
              <w:tc>
                <w:tcPr>
                  <w:tcW w:w="0" w:type="auto"/>
                  <w:tcBorders>
                    <w:top w:val="single" w:sz="4" w:space="0" w:color="auto"/>
                    <w:left w:val="single" w:sz="4" w:space="0" w:color="auto"/>
                    <w:bottom w:val="single" w:sz="4" w:space="0" w:color="auto"/>
                    <w:right w:val="single" w:sz="4" w:space="0" w:color="auto"/>
                  </w:tcBorders>
                </w:tcPr>
                <w:p w14:paraId="0E0AFB72"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1416</w:t>
                  </w:r>
                </w:p>
              </w:tc>
              <w:tc>
                <w:tcPr>
                  <w:tcW w:w="0" w:type="auto"/>
                  <w:tcBorders>
                    <w:top w:val="single" w:sz="4" w:space="0" w:color="auto"/>
                    <w:left w:val="single" w:sz="4" w:space="0" w:color="auto"/>
                    <w:bottom w:val="single" w:sz="4" w:space="0" w:color="auto"/>
                    <w:right w:val="single" w:sz="4" w:space="0" w:color="auto"/>
                  </w:tcBorders>
                </w:tcPr>
                <w:p w14:paraId="565D048D"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1736</w:t>
                  </w:r>
                </w:p>
              </w:tc>
              <w:tc>
                <w:tcPr>
                  <w:tcW w:w="0" w:type="auto"/>
                  <w:tcBorders>
                    <w:top w:val="single" w:sz="4" w:space="0" w:color="auto"/>
                    <w:left w:val="single" w:sz="4" w:space="0" w:color="auto"/>
                    <w:bottom w:val="single" w:sz="4" w:space="0" w:color="auto"/>
                    <w:right w:val="single" w:sz="4" w:space="0" w:color="auto"/>
                  </w:tcBorders>
                </w:tcPr>
                <w:p w14:paraId="498481A5"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2280</w:t>
                  </w:r>
                </w:p>
              </w:tc>
              <w:tc>
                <w:tcPr>
                  <w:tcW w:w="0" w:type="auto"/>
                  <w:tcBorders>
                    <w:top w:val="single" w:sz="4" w:space="0" w:color="auto"/>
                    <w:left w:val="single" w:sz="4" w:space="0" w:color="auto"/>
                    <w:bottom w:val="single" w:sz="4" w:space="0" w:color="auto"/>
                    <w:right w:val="single" w:sz="4" w:space="0" w:color="auto"/>
                  </w:tcBorders>
                </w:tcPr>
                <w:p w14:paraId="7B6E6A69"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2856</w:t>
                  </w:r>
                </w:p>
              </w:tc>
            </w:tr>
            <w:tr w:rsidR="001F0D47" w:rsidRPr="001F0D47" w14:paraId="0B1E04C5" w14:textId="77777777" w:rsidTr="59C2A3C1">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8A59946" w14:textId="77777777" w:rsidR="001F0D47" w:rsidRPr="001F0D47" w:rsidRDefault="001F0D47" w:rsidP="001F0D47">
                  <w:pPr>
                    <w:overflowPunct/>
                    <w:autoSpaceDE/>
                    <w:autoSpaceDN/>
                    <w:adjustRightInd/>
                    <w:spacing w:after="0"/>
                    <w:jc w:val="center"/>
                    <w:textAlignment w:val="auto"/>
                    <w:rPr>
                      <w:rFonts w:eastAsia="Malgun Gothic"/>
                      <w:sz w:val="16"/>
                      <w:szCs w:val="16"/>
                      <w:lang w:eastAsia="zh-CN"/>
                    </w:rPr>
                  </w:pPr>
                  <w:r w:rsidRPr="001F0D47">
                    <w:rPr>
                      <w:rFonts w:eastAsia="Malgun Gothic"/>
                      <w:sz w:val="16"/>
                      <w:szCs w:val="16"/>
                      <w:lang w:eastAsia="zh-CN"/>
                    </w:rPr>
                    <w:t>15</w:t>
                  </w:r>
                </w:p>
              </w:tc>
              <w:tc>
                <w:tcPr>
                  <w:tcW w:w="0" w:type="auto"/>
                  <w:tcBorders>
                    <w:top w:val="single" w:sz="4" w:space="0" w:color="auto"/>
                    <w:left w:val="double" w:sz="4" w:space="0" w:color="auto"/>
                    <w:bottom w:val="single" w:sz="4" w:space="0" w:color="auto"/>
                    <w:right w:val="single" w:sz="4" w:space="0" w:color="auto"/>
                  </w:tcBorders>
                </w:tcPr>
                <w:p w14:paraId="43F5EE24"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280</w:t>
                  </w:r>
                </w:p>
              </w:tc>
              <w:tc>
                <w:tcPr>
                  <w:tcW w:w="0" w:type="auto"/>
                  <w:tcBorders>
                    <w:top w:val="single" w:sz="4" w:space="0" w:color="auto"/>
                    <w:left w:val="single" w:sz="4" w:space="0" w:color="auto"/>
                    <w:bottom w:val="single" w:sz="4" w:space="0" w:color="auto"/>
                    <w:right w:val="single" w:sz="4" w:space="0" w:color="auto"/>
                  </w:tcBorders>
                </w:tcPr>
                <w:p w14:paraId="4CBDC181"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600</w:t>
                  </w:r>
                </w:p>
              </w:tc>
              <w:tc>
                <w:tcPr>
                  <w:tcW w:w="0" w:type="auto"/>
                  <w:tcBorders>
                    <w:top w:val="single" w:sz="4" w:space="0" w:color="auto"/>
                    <w:left w:val="single" w:sz="4" w:space="0" w:color="auto"/>
                    <w:bottom w:val="single" w:sz="4" w:space="0" w:color="auto"/>
                    <w:right w:val="single" w:sz="4" w:space="0" w:color="auto"/>
                  </w:tcBorders>
                </w:tcPr>
                <w:p w14:paraId="26B55751"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904</w:t>
                  </w:r>
                </w:p>
              </w:tc>
              <w:tc>
                <w:tcPr>
                  <w:tcW w:w="0" w:type="auto"/>
                  <w:tcBorders>
                    <w:top w:val="single" w:sz="4" w:space="0" w:color="auto"/>
                    <w:left w:val="single" w:sz="4" w:space="0" w:color="auto"/>
                    <w:bottom w:val="single" w:sz="4" w:space="0" w:color="auto"/>
                    <w:right w:val="single" w:sz="4" w:space="0" w:color="auto"/>
                  </w:tcBorders>
                </w:tcPr>
                <w:p w14:paraId="15E39605"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1224</w:t>
                  </w:r>
                </w:p>
              </w:tc>
              <w:tc>
                <w:tcPr>
                  <w:tcW w:w="0" w:type="auto"/>
                  <w:tcBorders>
                    <w:top w:val="single" w:sz="4" w:space="0" w:color="auto"/>
                    <w:left w:val="single" w:sz="4" w:space="0" w:color="auto"/>
                    <w:bottom w:val="single" w:sz="4" w:space="0" w:color="auto"/>
                    <w:right w:val="single" w:sz="4" w:space="0" w:color="auto"/>
                  </w:tcBorders>
                </w:tcPr>
                <w:p w14:paraId="56FEFE41"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1544</w:t>
                  </w:r>
                </w:p>
              </w:tc>
              <w:tc>
                <w:tcPr>
                  <w:tcW w:w="0" w:type="auto"/>
                  <w:tcBorders>
                    <w:top w:val="single" w:sz="4" w:space="0" w:color="auto"/>
                    <w:left w:val="single" w:sz="4" w:space="0" w:color="auto"/>
                    <w:bottom w:val="single" w:sz="4" w:space="0" w:color="auto"/>
                    <w:right w:val="single" w:sz="4" w:space="0" w:color="auto"/>
                  </w:tcBorders>
                </w:tcPr>
                <w:p w14:paraId="0F6CE58C"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1800</w:t>
                  </w:r>
                </w:p>
              </w:tc>
              <w:tc>
                <w:tcPr>
                  <w:tcW w:w="0" w:type="auto"/>
                  <w:tcBorders>
                    <w:top w:val="single" w:sz="4" w:space="0" w:color="auto"/>
                    <w:left w:val="single" w:sz="4" w:space="0" w:color="auto"/>
                    <w:bottom w:val="single" w:sz="4" w:space="0" w:color="auto"/>
                    <w:right w:val="single" w:sz="4" w:space="0" w:color="auto"/>
                  </w:tcBorders>
                </w:tcPr>
                <w:p w14:paraId="5FAEEED8"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2472</w:t>
                  </w:r>
                </w:p>
              </w:tc>
              <w:tc>
                <w:tcPr>
                  <w:tcW w:w="0" w:type="auto"/>
                  <w:tcBorders>
                    <w:top w:val="single" w:sz="4" w:space="0" w:color="auto"/>
                    <w:left w:val="single" w:sz="4" w:space="0" w:color="auto"/>
                    <w:bottom w:val="single" w:sz="4" w:space="0" w:color="auto"/>
                    <w:right w:val="single" w:sz="4" w:space="0" w:color="auto"/>
                  </w:tcBorders>
                </w:tcPr>
                <w:p w14:paraId="550DBD25"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3112</w:t>
                  </w:r>
                </w:p>
              </w:tc>
            </w:tr>
            <w:tr w:rsidR="001F0D47" w:rsidRPr="001F0D47" w14:paraId="73CC5696" w14:textId="77777777" w:rsidTr="59C2A3C1">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9A9A241" w14:textId="77777777" w:rsidR="001F0D47" w:rsidRPr="001F0D47" w:rsidRDefault="001F0D47" w:rsidP="001F0D47">
                  <w:pPr>
                    <w:overflowPunct/>
                    <w:autoSpaceDE/>
                    <w:autoSpaceDN/>
                    <w:adjustRightInd/>
                    <w:spacing w:after="0"/>
                    <w:jc w:val="center"/>
                    <w:textAlignment w:val="auto"/>
                    <w:rPr>
                      <w:rFonts w:eastAsia="Malgun Gothic"/>
                      <w:sz w:val="16"/>
                      <w:szCs w:val="16"/>
                      <w:lang w:eastAsia="zh-CN"/>
                    </w:rPr>
                  </w:pPr>
                  <w:r w:rsidRPr="001F0D47">
                    <w:rPr>
                      <w:rFonts w:eastAsia="Malgun Gothic"/>
                      <w:sz w:val="16"/>
                      <w:szCs w:val="16"/>
                      <w:lang w:eastAsia="zh-CN"/>
                    </w:rPr>
                    <w:t>16</w:t>
                  </w:r>
                </w:p>
              </w:tc>
              <w:tc>
                <w:tcPr>
                  <w:tcW w:w="0" w:type="auto"/>
                  <w:tcBorders>
                    <w:top w:val="single" w:sz="4" w:space="0" w:color="auto"/>
                    <w:left w:val="double" w:sz="4" w:space="0" w:color="auto"/>
                    <w:bottom w:val="single" w:sz="4" w:space="0" w:color="auto"/>
                    <w:right w:val="single" w:sz="4" w:space="0" w:color="auto"/>
                  </w:tcBorders>
                </w:tcPr>
                <w:p w14:paraId="1BC2634B" w14:textId="77777777" w:rsidR="001F0D47" w:rsidRPr="001F0D47" w:rsidRDefault="001F0D47" w:rsidP="001F0D47">
                  <w:pPr>
                    <w:overflowPunct/>
                    <w:autoSpaceDE/>
                    <w:autoSpaceDN/>
                    <w:adjustRightInd/>
                    <w:spacing w:after="0"/>
                    <w:jc w:val="center"/>
                    <w:textAlignment w:val="auto"/>
                    <w:rPr>
                      <w:rFonts w:eastAsia="Batang"/>
                      <w:color w:val="FF0000"/>
                      <w:sz w:val="16"/>
                      <w:szCs w:val="16"/>
                      <w:highlight w:val="green"/>
                      <w:lang w:eastAsia="x-none"/>
                    </w:rPr>
                  </w:pPr>
                  <w:r w:rsidRPr="001F0D47">
                    <w:rPr>
                      <w:rFonts w:eastAsia="Malgun Gothic"/>
                      <w:strike/>
                      <w:color w:val="FF0000"/>
                      <w:sz w:val="16"/>
                      <w:szCs w:val="16"/>
                      <w:highlight w:val="green"/>
                      <w:lang w:eastAsia="zh-CN"/>
                    </w:rPr>
                    <w:t>328</w:t>
                  </w:r>
                  <w:r w:rsidRPr="001F0D47">
                    <w:rPr>
                      <w:rFonts w:eastAsia="Malgun Gothic"/>
                      <w:color w:val="FF0000"/>
                      <w:sz w:val="16"/>
                      <w:szCs w:val="16"/>
                      <w:highlight w:val="green"/>
                      <w:lang w:eastAsia="zh-CN"/>
                    </w:rPr>
                    <w:t>296</w:t>
                  </w:r>
                </w:p>
              </w:tc>
              <w:tc>
                <w:tcPr>
                  <w:tcW w:w="0" w:type="auto"/>
                  <w:tcBorders>
                    <w:top w:val="single" w:sz="4" w:space="0" w:color="auto"/>
                    <w:left w:val="single" w:sz="4" w:space="0" w:color="auto"/>
                    <w:bottom w:val="single" w:sz="4" w:space="0" w:color="auto"/>
                    <w:right w:val="single" w:sz="4" w:space="0" w:color="auto"/>
                  </w:tcBorders>
                </w:tcPr>
                <w:p w14:paraId="0B67F942"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632</w:t>
                  </w:r>
                </w:p>
              </w:tc>
              <w:tc>
                <w:tcPr>
                  <w:tcW w:w="0" w:type="auto"/>
                  <w:tcBorders>
                    <w:top w:val="single" w:sz="4" w:space="0" w:color="auto"/>
                    <w:left w:val="single" w:sz="4" w:space="0" w:color="auto"/>
                    <w:bottom w:val="single" w:sz="4" w:space="0" w:color="auto"/>
                    <w:right w:val="single" w:sz="4" w:space="0" w:color="auto"/>
                  </w:tcBorders>
                </w:tcPr>
                <w:p w14:paraId="2ED2179E"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968</w:t>
                  </w:r>
                </w:p>
              </w:tc>
              <w:tc>
                <w:tcPr>
                  <w:tcW w:w="0" w:type="auto"/>
                  <w:tcBorders>
                    <w:top w:val="single" w:sz="4" w:space="0" w:color="auto"/>
                    <w:left w:val="single" w:sz="4" w:space="0" w:color="auto"/>
                    <w:bottom w:val="single" w:sz="4" w:space="0" w:color="auto"/>
                    <w:right w:val="single" w:sz="4" w:space="0" w:color="auto"/>
                  </w:tcBorders>
                </w:tcPr>
                <w:p w14:paraId="4CE0DC8B"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1288</w:t>
                  </w:r>
                </w:p>
              </w:tc>
              <w:tc>
                <w:tcPr>
                  <w:tcW w:w="0" w:type="auto"/>
                  <w:tcBorders>
                    <w:top w:val="single" w:sz="4" w:space="0" w:color="auto"/>
                    <w:left w:val="single" w:sz="4" w:space="0" w:color="auto"/>
                    <w:bottom w:val="single" w:sz="4" w:space="0" w:color="auto"/>
                    <w:right w:val="single" w:sz="4" w:space="0" w:color="auto"/>
                  </w:tcBorders>
                </w:tcPr>
                <w:p w14:paraId="697999A9"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1608</w:t>
                  </w:r>
                </w:p>
              </w:tc>
              <w:tc>
                <w:tcPr>
                  <w:tcW w:w="0" w:type="auto"/>
                  <w:tcBorders>
                    <w:top w:val="single" w:sz="4" w:space="0" w:color="auto"/>
                    <w:left w:val="single" w:sz="4" w:space="0" w:color="auto"/>
                    <w:bottom w:val="single" w:sz="4" w:space="0" w:color="auto"/>
                    <w:right w:val="single" w:sz="4" w:space="0" w:color="auto"/>
                  </w:tcBorders>
                </w:tcPr>
                <w:p w14:paraId="7908C813"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1928</w:t>
                  </w:r>
                </w:p>
              </w:tc>
              <w:tc>
                <w:tcPr>
                  <w:tcW w:w="0" w:type="auto"/>
                  <w:tcBorders>
                    <w:top w:val="single" w:sz="4" w:space="0" w:color="auto"/>
                    <w:left w:val="single" w:sz="4" w:space="0" w:color="auto"/>
                    <w:bottom w:val="single" w:sz="4" w:space="0" w:color="auto"/>
                    <w:right w:val="single" w:sz="4" w:space="0" w:color="auto"/>
                  </w:tcBorders>
                </w:tcPr>
                <w:p w14:paraId="60F07F61"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2600</w:t>
                  </w:r>
                </w:p>
              </w:tc>
              <w:tc>
                <w:tcPr>
                  <w:tcW w:w="0" w:type="auto"/>
                  <w:tcBorders>
                    <w:top w:val="single" w:sz="4" w:space="0" w:color="auto"/>
                    <w:left w:val="single" w:sz="4" w:space="0" w:color="auto"/>
                    <w:bottom w:val="single" w:sz="4" w:space="0" w:color="auto"/>
                    <w:right w:val="single" w:sz="4" w:space="0" w:color="auto"/>
                  </w:tcBorders>
                </w:tcPr>
                <w:p w14:paraId="05539D75"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3240</w:t>
                  </w:r>
                </w:p>
              </w:tc>
            </w:tr>
            <w:tr w:rsidR="001F0D47" w:rsidRPr="001F0D47" w14:paraId="0B5C6255" w14:textId="77777777" w:rsidTr="59C2A3C1">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122A478" w14:textId="77777777" w:rsidR="001F0D47" w:rsidRPr="001F0D47" w:rsidRDefault="001F0D47" w:rsidP="001F0D47">
                  <w:pPr>
                    <w:overflowPunct/>
                    <w:autoSpaceDE/>
                    <w:autoSpaceDN/>
                    <w:adjustRightInd/>
                    <w:spacing w:after="0"/>
                    <w:jc w:val="center"/>
                    <w:textAlignment w:val="auto"/>
                    <w:rPr>
                      <w:rFonts w:eastAsia="Malgun Gothic"/>
                      <w:sz w:val="16"/>
                      <w:szCs w:val="16"/>
                      <w:lang w:eastAsia="zh-CN"/>
                    </w:rPr>
                  </w:pPr>
                  <w:r w:rsidRPr="001F0D47">
                    <w:rPr>
                      <w:rFonts w:eastAsia="Malgun Gothic"/>
                      <w:sz w:val="16"/>
                      <w:szCs w:val="16"/>
                      <w:lang w:eastAsia="zh-CN"/>
                    </w:rPr>
                    <w:t>17</w:t>
                  </w:r>
                </w:p>
              </w:tc>
              <w:tc>
                <w:tcPr>
                  <w:tcW w:w="0" w:type="auto"/>
                  <w:tcBorders>
                    <w:top w:val="single" w:sz="4" w:space="0" w:color="auto"/>
                    <w:left w:val="double" w:sz="4" w:space="0" w:color="auto"/>
                    <w:bottom w:val="single" w:sz="4" w:space="0" w:color="auto"/>
                    <w:right w:val="single" w:sz="4" w:space="0" w:color="auto"/>
                  </w:tcBorders>
                </w:tcPr>
                <w:p w14:paraId="290C3955"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336</w:t>
                  </w:r>
                </w:p>
              </w:tc>
              <w:tc>
                <w:tcPr>
                  <w:tcW w:w="0" w:type="auto"/>
                  <w:tcBorders>
                    <w:top w:val="single" w:sz="4" w:space="0" w:color="auto"/>
                    <w:left w:val="single" w:sz="4" w:space="0" w:color="auto"/>
                    <w:bottom w:val="single" w:sz="4" w:space="0" w:color="auto"/>
                    <w:right w:val="single" w:sz="4" w:space="0" w:color="auto"/>
                  </w:tcBorders>
                </w:tcPr>
                <w:p w14:paraId="55002C06"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696</w:t>
                  </w:r>
                </w:p>
              </w:tc>
              <w:tc>
                <w:tcPr>
                  <w:tcW w:w="0" w:type="auto"/>
                  <w:tcBorders>
                    <w:top w:val="single" w:sz="4" w:space="0" w:color="auto"/>
                    <w:left w:val="single" w:sz="4" w:space="0" w:color="auto"/>
                    <w:bottom w:val="single" w:sz="4" w:space="0" w:color="auto"/>
                    <w:right w:val="single" w:sz="4" w:space="0" w:color="auto"/>
                  </w:tcBorders>
                </w:tcPr>
                <w:p w14:paraId="02A5C5BA"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1064</w:t>
                  </w:r>
                </w:p>
              </w:tc>
              <w:tc>
                <w:tcPr>
                  <w:tcW w:w="0" w:type="auto"/>
                  <w:tcBorders>
                    <w:top w:val="single" w:sz="4" w:space="0" w:color="auto"/>
                    <w:left w:val="single" w:sz="4" w:space="0" w:color="auto"/>
                    <w:bottom w:val="single" w:sz="4" w:space="0" w:color="auto"/>
                    <w:right w:val="single" w:sz="4" w:space="0" w:color="auto"/>
                  </w:tcBorders>
                </w:tcPr>
                <w:p w14:paraId="2C9F1CC8"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1416</w:t>
                  </w:r>
                </w:p>
              </w:tc>
              <w:tc>
                <w:tcPr>
                  <w:tcW w:w="0" w:type="auto"/>
                  <w:tcBorders>
                    <w:top w:val="single" w:sz="4" w:space="0" w:color="auto"/>
                    <w:left w:val="single" w:sz="4" w:space="0" w:color="auto"/>
                    <w:bottom w:val="single" w:sz="4" w:space="0" w:color="auto"/>
                    <w:right w:val="single" w:sz="4" w:space="0" w:color="auto"/>
                  </w:tcBorders>
                </w:tcPr>
                <w:p w14:paraId="6F1FDE93"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1800</w:t>
                  </w:r>
                </w:p>
              </w:tc>
              <w:tc>
                <w:tcPr>
                  <w:tcW w:w="0" w:type="auto"/>
                  <w:tcBorders>
                    <w:top w:val="single" w:sz="4" w:space="0" w:color="auto"/>
                    <w:left w:val="single" w:sz="4" w:space="0" w:color="auto"/>
                    <w:bottom w:val="single" w:sz="4" w:space="0" w:color="auto"/>
                    <w:right w:val="single" w:sz="4" w:space="0" w:color="auto"/>
                  </w:tcBorders>
                </w:tcPr>
                <w:p w14:paraId="34AAADE8"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2152</w:t>
                  </w:r>
                </w:p>
              </w:tc>
              <w:tc>
                <w:tcPr>
                  <w:tcW w:w="0" w:type="auto"/>
                  <w:tcBorders>
                    <w:top w:val="single" w:sz="4" w:space="0" w:color="auto"/>
                    <w:left w:val="single" w:sz="4" w:space="0" w:color="auto"/>
                    <w:bottom w:val="single" w:sz="4" w:space="0" w:color="auto"/>
                    <w:right w:val="single" w:sz="4" w:space="0" w:color="auto"/>
                  </w:tcBorders>
                </w:tcPr>
                <w:p w14:paraId="12DE648B"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2856</w:t>
                  </w:r>
                </w:p>
              </w:tc>
              <w:tc>
                <w:tcPr>
                  <w:tcW w:w="0" w:type="auto"/>
                  <w:tcBorders>
                    <w:top w:val="single" w:sz="4" w:space="0" w:color="auto"/>
                    <w:left w:val="single" w:sz="4" w:space="0" w:color="auto"/>
                    <w:bottom w:val="single" w:sz="4" w:space="0" w:color="auto"/>
                    <w:right w:val="single" w:sz="4" w:space="0" w:color="auto"/>
                  </w:tcBorders>
                </w:tcPr>
                <w:p w14:paraId="78C3D201"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3624</w:t>
                  </w:r>
                </w:p>
              </w:tc>
            </w:tr>
            <w:tr w:rsidR="001F0D47" w:rsidRPr="001F0D47" w14:paraId="485396C6" w14:textId="77777777" w:rsidTr="59C2A3C1">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723514FE" w14:textId="77777777" w:rsidR="001F0D47" w:rsidRPr="001F0D47" w:rsidRDefault="001F0D47" w:rsidP="001F0D47">
                  <w:pPr>
                    <w:overflowPunct/>
                    <w:autoSpaceDE/>
                    <w:autoSpaceDN/>
                    <w:adjustRightInd/>
                    <w:spacing w:after="0"/>
                    <w:jc w:val="center"/>
                    <w:textAlignment w:val="auto"/>
                    <w:rPr>
                      <w:rFonts w:eastAsia="Malgun Gothic"/>
                      <w:sz w:val="16"/>
                      <w:szCs w:val="16"/>
                      <w:lang w:eastAsia="zh-CN"/>
                    </w:rPr>
                  </w:pPr>
                  <w:r w:rsidRPr="001F0D47">
                    <w:rPr>
                      <w:rFonts w:eastAsia="Malgun Gothic"/>
                      <w:sz w:val="16"/>
                      <w:szCs w:val="16"/>
                      <w:lang w:eastAsia="zh-CN"/>
                    </w:rPr>
                    <w:t>18</w:t>
                  </w:r>
                </w:p>
              </w:tc>
              <w:tc>
                <w:tcPr>
                  <w:tcW w:w="0" w:type="auto"/>
                  <w:tcBorders>
                    <w:top w:val="single" w:sz="4" w:space="0" w:color="auto"/>
                    <w:left w:val="double" w:sz="4" w:space="0" w:color="auto"/>
                    <w:bottom w:val="single" w:sz="4" w:space="0" w:color="auto"/>
                    <w:right w:val="single" w:sz="4" w:space="0" w:color="auto"/>
                  </w:tcBorders>
                </w:tcPr>
                <w:p w14:paraId="7973445D"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376</w:t>
                  </w:r>
                </w:p>
              </w:tc>
              <w:tc>
                <w:tcPr>
                  <w:tcW w:w="0" w:type="auto"/>
                  <w:tcBorders>
                    <w:top w:val="single" w:sz="4" w:space="0" w:color="auto"/>
                    <w:left w:val="single" w:sz="4" w:space="0" w:color="auto"/>
                    <w:bottom w:val="single" w:sz="4" w:space="0" w:color="auto"/>
                    <w:right w:val="single" w:sz="4" w:space="0" w:color="auto"/>
                  </w:tcBorders>
                </w:tcPr>
                <w:p w14:paraId="561299CC"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776</w:t>
                  </w:r>
                </w:p>
              </w:tc>
              <w:tc>
                <w:tcPr>
                  <w:tcW w:w="0" w:type="auto"/>
                  <w:tcBorders>
                    <w:top w:val="single" w:sz="4" w:space="0" w:color="auto"/>
                    <w:left w:val="single" w:sz="4" w:space="0" w:color="auto"/>
                    <w:bottom w:val="single" w:sz="4" w:space="0" w:color="auto"/>
                    <w:right w:val="single" w:sz="4" w:space="0" w:color="auto"/>
                  </w:tcBorders>
                </w:tcPr>
                <w:p w14:paraId="22A3043F"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1160</w:t>
                  </w:r>
                </w:p>
              </w:tc>
              <w:tc>
                <w:tcPr>
                  <w:tcW w:w="0" w:type="auto"/>
                  <w:tcBorders>
                    <w:top w:val="single" w:sz="4" w:space="0" w:color="auto"/>
                    <w:left w:val="single" w:sz="4" w:space="0" w:color="auto"/>
                    <w:bottom w:val="single" w:sz="4" w:space="0" w:color="auto"/>
                    <w:right w:val="single" w:sz="4" w:space="0" w:color="auto"/>
                  </w:tcBorders>
                </w:tcPr>
                <w:p w14:paraId="62E6B642"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1544</w:t>
                  </w:r>
                </w:p>
              </w:tc>
              <w:tc>
                <w:tcPr>
                  <w:tcW w:w="0" w:type="auto"/>
                  <w:tcBorders>
                    <w:top w:val="single" w:sz="4" w:space="0" w:color="auto"/>
                    <w:left w:val="single" w:sz="4" w:space="0" w:color="auto"/>
                    <w:bottom w:val="single" w:sz="4" w:space="0" w:color="auto"/>
                    <w:right w:val="single" w:sz="4" w:space="0" w:color="auto"/>
                  </w:tcBorders>
                </w:tcPr>
                <w:p w14:paraId="47EAE5DB"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1992</w:t>
                  </w:r>
                </w:p>
              </w:tc>
              <w:tc>
                <w:tcPr>
                  <w:tcW w:w="0" w:type="auto"/>
                  <w:tcBorders>
                    <w:top w:val="single" w:sz="4" w:space="0" w:color="auto"/>
                    <w:left w:val="single" w:sz="4" w:space="0" w:color="auto"/>
                    <w:bottom w:val="single" w:sz="4" w:space="0" w:color="auto"/>
                    <w:right w:val="single" w:sz="4" w:space="0" w:color="auto"/>
                  </w:tcBorders>
                </w:tcPr>
                <w:p w14:paraId="1980E145"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2344</w:t>
                  </w:r>
                </w:p>
              </w:tc>
              <w:tc>
                <w:tcPr>
                  <w:tcW w:w="0" w:type="auto"/>
                  <w:tcBorders>
                    <w:top w:val="single" w:sz="4" w:space="0" w:color="auto"/>
                    <w:left w:val="single" w:sz="4" w:space="0" w:color="auto"/>
                    <w:bottom w:val="single" w:sz="4" w:space="0" w:color="auto"/>
                    <w:right w:val="single" w:sz="4" w:space="0" w:color="auto"/>
                  </w:tcBorders>
                </w:tcPr>
                <w:p w14:paraId="004EDE53"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3112</w:t>
                  </w:r>
                </w:p>
              </w:tc>
              <w:tc>
                <w:tcPr>
                  <w:tcW w:w="0" w:type="auto"/>
                  <w:tcBorders>
                    <w:top w:val="single" w:sz="4" w:space="0" w:color="auto"/>
                    <w:left w:val="single" w:sz="4" w:space="0" w:color="auto"/>
                    <w:bottom w:val="single" w:sz="4" w:space="0" w:color="auto"/>
                    <w:right w:val="single" w:sz="4" w:space="0" w:color="auto"/>
                  </w:tcBorders>
                </w:tcPr>
                <w:p w14:paraId="6CB3C9DA"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4008</w:t>
                  </w:r>
                </w:p>
              </w:tc>
            </w:tr>
            <w:tr w:rsidR="001F0D47" w:rsidRPr="001F0D47" w14:paraId="4813B653" w14:textId="77777777" w:rsidTr="59C2A3C1">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9CC056B" w14:textId="77777777" w:rsidR="001F0D47" w:rsidRPr="001F0D47" w:rsidRDefault="001F0D47" w:rsidP="001F0D47">
                  <w:pPr>
                    <w:overflowPunct/>
                    <w:autoSpaceDE/>
                    <w:autoSpaceDN/>
                    <w:adjustRightInd/>
                    <w:spacing w:after="0"/>
                    <w:jc w:val="center"/>
                    <w:textAlignment w:val="auto"/>
                    <w:rPr>
                      <w:rFonts w:eastAsia="Malgun Gothic"/>
                      <w:sz w:val="16"/>
                      <w:szCs w:val="16"/>
                      <w:lang w:eastAsia="zh-CN"/>
                    </w:rPr>
                  </w:pPr>
                  <w:r w:rsidRPr="001F0D47">
                    <w:rPr>
                      <w:rFonts w:eastAsia="Malgun Gothic"/>
                      <w:sz w:val="16"/>
                      <w:szCs w:val="16"/>
                      <w:lang w:eastAsia="zh-CN"/>
                    </w:rPr>
                    <w:t>19</w:t>
                  </w:r>
                </w:p>
              </w:tc>
              <w:tc>
                <w:tcPr>
                  <w:tcW w:w="0" w:type="auto"/>
                  <w:tcBorders>
                    <w:top w:val="single" w:sz="4" w:space="0" w:color="auto"/>
                    <w:left w:val="double" w:sz="4" w:space="0" w:color="auto"/>
                    <w:bottom w:val="single" w:sz="4" w:space="0" w:color="auto"/>
                    <w:right w:val="single" w:sz="4" w:space="0" w:color="auto"/>
                  </w:tcBorders>
                </w:tcPr>
                <w:p w14:paraId="32F8AB65"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408</w:t>
                  </w:r>
                </w:p>
              </w:tc>
              <w:tc>
                <w:tcPr>
                  <w:tcW w:w="0" w:type="auto"/>
                  <w:tcBorders>
                    <w:top w:val="single" w:sz="4" w:space="0" w:color="auto"/>
                    <w:left w:val="single" w:sz="4" w:space="0" w:color="auto"/>
                    <w:bottom w:val="single" w:sz="4" w:space="0" w:color="auto"/>
                    <w:right w:val="single" w:sz="4" w:space="0" w:color="auto"/>
                  </w:tcBorders>
                </w:tcPr>
                <w:p w14:paraId="08D40D26"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840</w:t>
                  </w:r>
                </w:p>
              </w:tc>
              <w:tc>
                <w:tcPr>
                  <w:tcW w:w="0" w:type="auto"/>
                  <w:tcBorders>
                    <w:top w:val="single" w:sz="4" w:space="0" w:color="auto"/>
                    <w:left w:val="single" w:sz="4" w:space="0" w:color="auto"/>
                    <w:bottom w:val="single" w:sz="4" w:space="0" w:color="auto"/>
                    <w:right w:val="single" w:sz="4" w:space="0" w:color="auto"/>
                  </w:tcBorders>
                </w:tcPr>
                <w:p w14:paraId="4A091AE9"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1288</w:t>
                  </w:r>
                </w:p>
              </w:tc>
              <w:tc>
                <w:tcPr>
                  <w:tcW w:w="0" w:type="auto"/>
                  <w:tcBorders>
                    <w:top w:val="single" w:sz="4" w:space="0" w:color="auto"/>
                    <w:left w:val="single" w:sz="4" w:space="0" w:color="auto"/>
                    <w:bottom w:val="single" w:sz="4" w:space="0" w:color="auto"/>
                    <w:right w:val="single" w:sz="4" w:space="0" w:color="auto"/>
                  </w:tcBorders>
                </w:tcPr>
                <w:p w14:paraId="5A5A27A5"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1736</w:t>
                  </w:r>
                </w:p>
              </w:tc>
              <w:tc>
                <w:tcPr>
                  <w:tcW w:w="0" w:type="auto"/>
                  <w:tcBorders>
                    <w:top w:val="single" w:sz="4" w:space="0" w:color="auto"/>
                    <w:left w:val="single" w:sz="4" w:space="0" w:color="auto"/>
                    <w:bottom w:val="single" w:sz="4" w:space="0" w:color="auto"/>
                    <w:right w:val="single" w:sz="4" w:space="0" w:color="auto"/>
                  </w:tcBorders>
                </w:tcPr>
                <w:p w14:paraId="4FAFDE53"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2152</w:t>
                  </w:r>
                </w:p>
              </w:tc>
              <w:tc>
                <w:tcPr>
                  <w:tcW w:w="0" w:type="auto"/>
                  <w:tcBorders>
                    <w:top w:val="single" w:sz="4" w:space="0" w:color="auto"/>
                    <w:left w:val="single" w:sz="4" w:space="0" w:color="auto"/>
                    <w:bottom w:val="single" w:sz="4" w:space="0" w:color="auto"/>
                    <w:right w:val="single" w:sz="4" w:space="0" w:color="auto"/>
                  </w:tcBorders>
                </w:tcPr>
                <w:p w14:paraId="28F0F9E2"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2600</w:t>
                  </w:r>
                </w:p>
              </w:tc>
              <w:tc>
                <w:tcPr>
                  <w:tcW w:w="0" w:type="auto"/>
                  <w:tcBorders>
                    <w:top w:val="single" w:sz="4" w:space="0" w:color="auto"/>
                    <w:left w:val="single" w:sz="4" w:space="0" w:color="auto"/>
                    <w:bottom w:val="single" w:sz="4" w:space="0" w:color="auto"/>
                    <w:right w:val="single" w:sz="4" w:space="0" w:color="auto"/>
                  </w:tcBorders>
                </w:tcPr>
                <w:p w14:paraId="3FAF23E0"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3496</w:t>
                  </w:r>
                </w:p>
              </w:tc>
              <w:tc>
                <w:tcPr>
                  <w:tcW w:w="0" w:type="auto"/>
                  <w:tcBorders>
                    <w:top w:val="single" w:sz="4" w:space="0" w:color="auto"/>
                    <w:left w:val="single" w:sz="4" w:space="0" w:color="auto"/>
                    <w:bottom w:val="single" w:sz="4" w:space="0" w:color="auto"/>
                    <w:right w:val="single" w:sz="4" w:space="0" w:color="auto"/>
                  </w:tcBorders>
                </w:tcPr>
                <w:p w14:paraId="3D001ADF"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4264</w:t>
                  </w:r>
                </w:p>
              </w:tc>
            </w:tr>
            <w:tr w:rsidR="001F0D47" w:rsidRPr="001F0D47" w14:paraId="7EF3A093" w14:textId="77777777" w:rsidTr="59C2A3C1">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7467BC6" w14:textId="77777777" w:rsidR="001F0D47" w:rsidRPr="001F0D47" w:rsidRDefault="001F0D47" w:rsidP="001F0D47">
                  <w:pPr>
                    <w:overflowPunct/>
                    <w:autoSpaceDE/>
                    <w:autoSpaceDN/>
                    <w:adjustRightInd/>
                    <w:spacing w:after="0"/>
                    <w:jc w:val="center"/>
                    <w:textAlignment w:val="auto"/>
                    <w:rPr>
                      <w:rFonts w:eastAsia="Malgun Gothic"/>
                      <w:sz w:val="16"/>
                      <w:szCs w:val="16"/>
                      <w:lang w:eastAsia="zh-CN"/>
                    </w:rPr>
                  </w:pPr>
                  <w:r w:rsidRPr="001F0D47">
                    <w:rPr>
                      <w:rFonts w:eastAsia="Malgun Gothic"/>
                      <w:sz w:val="16"/>
                      <w:szCs w:val="16"/>
                      <w:lang w:eastAsia="zh-CN"/>
                    </w:rPr>
                    <w:t>20</w:t>
                  </w:r>
                </w:p>
              </w:tc>
              <w:tc>
                <w:tcPr>
                  <w:tcW w:w="0" w:type="auto"/>
                  <w:tcBorders>
                    <w:top w:val="single" w:sz="4" w:space="0" w:color="auto"/>
                    <w:left w:val="double" w:sz="4" w:space="0" w:color="auto"/>
                    <w:bottom w:val="single" w:sz="4" w:space="0" w:color="auto"/>
                    <w:right w:val="single" w:sz="4" w:space="0" w:color="auto"/>
                  </w:tcBorders>
                </w:tcPr>
                <w:p w14:paraId="26072ACE"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440</w:t>
                  </w:r>
                </w:p>
              </w:tc>
              <w:tc>
                <w:tcPr>
                  <w:tcW w:w="0" w:type="auto"/>
                  <w:tcBorders>
                    <w:top w:val="single" w:sz="4" w:space="0" w:color="auto"/>
                    <w:left w:val="single" w:sz="4" w:space="0" w:color="auto"/>
                    <w:bottom w:val="single" w:sz="4" w:space="0" w:color="auto"/>
                    <w:right w:val="single" w:sz="4" w:space="0" w:color="auto"/>
                  </w:tcBorders>
                </w:tcPr>
                <w:p w14:paraId="7C01EC6F"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904</w:t>
                  </w:r>
                </w:p>
              </w:tc>
              <w:tc>
                <w:tcPr>
                  <w:tcW w:w="0" w:type="auto"/>
                  <w:tcBorders>
                    <w:top w:val="single" w:sz="4" w:space="0" w:color="auto"/>
                    <w:left w:val="single" w:sz="4" w:space="0" w:color="auto"/>
                    <w:bottom w:val="single" w:sz="4" w:space="0" w:color="auto"/>
                    <w:right w:val="single" w:sz="4" w:space="0" w:color="auto"/>
                  </w:tcBorders>
                </w:tcPr>
                <w:p w14:paraId="70D86917"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1384</w:t>
                  </w:r>
                </w:p>
              </w:tc>
              <w:tc>
                <w:tcPr>
                  <w:tcW w:w="0" w:type="auto"/>
                  <w:tcBorders>
                    <w:top w:val="single" w:sz="4" w:space="0" w:color="auto"/>
                    <w:left w:val="single" w:sz="4" w:space="0" w:color="auto"/>
                    <w:bottom w:val="single" w:sz="4" w:space="0" w:color="auto"/>
                    <w:right w:val="single" w:sz="4" w:space="0" w:color="auto"/>
                  </w:tcBorders>
                </w:tcPr>
                <w:p w14:paraId="3944807B"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1864</w:t>
                  </w:r>
                </w:p>
              </w:tc>
              <w:tc>
                <w:tcPr>
                  <w:tcW w:w="0" w:type="auto"/>
                  <w:tcBorders>
                    <w:top w:val="single" w:sz="4" w:space="0" w:color="auto"/>
                    <w:left w:val="single" w:sz="4" w:space="0" w:color="auto"/>
                    <w:bottom w:val="single" w:sz="4" w:space="0" w:color="auto"/>
                    <w:right w:val="single" w:sz="4" w:space="0" w:color="auto"/>
                  </w:tcBorders>
                </w:tcPr>
                <w:p w14:paraId="1401C288"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2344</w:t>
                  </w:r>
                </w:p>
              </w:tc>
              <w:tc>
                <w:tcPr>
                  <w:tcW w:w="0" w:type="auto"/>
                  <w:tcBorders>
                    <w:top w:val="single" w:sz="4" w:space="0" w:color="auto"/>
                    <w:left w:val="single" w:sz="4" w:space="0" w:color="auto"/>
                    <w:bottom w:val="single" w:sz="4" w:space="0" w:color="auto"/>
                    <w:right w:val="single" w:sz="4" w:space="0" w:color="auto"/>
                  </w:tcBorders>
                </w:tcPr>
                <w:p w14:paraId="229098B3"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2792</w:t>
                  </w:r>
                </w:p>
              </w:tc>
              <w:tc>
                <w:tcPr>
                  <w:tcW w:w="0" w:type="auto"/>
                  <w:tcBorders>
                    <w:top w:val="single" w:sz="4" w:space="0" w:color="auto"/>
                    <w:left w:val="single" w:sz="4" w:space="0" w:color="auto"/>
                    <w:bottom w:val="single" w:sz="4" w:space="0" w:color="auto"/>
                    <w:right w:val="single" w:sz="4" w:space="0" w:color="auto"/>
                  </w:tcBorders>
                </w:tcPr>
                <w:p w14:paraId="203ED4D5"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3752</w:t>
                  </w:r>
                </w:p>
              </w:tc>
              <w:tc>
                <w:tcPr>
                  <w:tcW w:w="0" w:type="auto"/>
                  <w:tcBorders>
                    <w:top w:val="single" w:sz="4" w:space="0" w:color="auto"/>
                    <w:left w:val="single" w:sz="4" w:space="0" w:color="auto"/>
                    <w:bottom w:val="single" w:sz="4" w:space="0" w:color="auto"/>
                    <w:right w:val="single" w:sz="4" w:space="0" w:color="auto"/>
                  </w:tcBorders>
                </w:tcPr>
                <w:p w14:paraId="2577C5FF"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4584</w:t>
                  </w:r>
                </w:p>
              </w:tc>
            </w:tr>
            <w:tr w:rsidR="001F0D47" w:rsidRPr="001F0D47" w14:paraId="2198F366" w14:textId="77777777" w:rsidTr="59C2A3C1">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364188B" w14:textId="77777777" w:rsidR="001F0D47" w:rsidRPr="001F0D47" w:rsidRDefault="001F0D47" w:rsidP="001F0D47">
                  <w:pPr>
                    <w:overflowPunct/>
                    <w:autoSpaceDE/>
                    <w:autoSpaceDN/>
                    <w:adjustRightInd/>
                    <w:spacing w:after="0"/>
                    <w:jc w:val="center"/>
                    <w:textAlignment w:val="auto"/>
                    <w:rPr>
                      <w:rFonts w:eastAsia="Malgun Gothic"/>
                      <w:sz w:val="16"/>
                      <w:szCs w:val="16"/>
                      <w:lang w:eastAsia="zh-CN"/>
                    </w:rPr>
                  </w:pPr>
                  <w:r w:rsidRPr="001F0D47">
                    <w:rPr>
                      <w:rFonts w:eastAsia="Malgun Gothic"/>
                      <w:sz w:val="16"/>
                      <w:szCs w:val="16"/>
                      <w:lang w:eastAsia="zh-CN"/>
                    </w:rPr>
                    <w:t>21</w:t>
                  </w:r>
                </w:p>
              </w:tc>
              <w:tc>
                <w:tcPr>
                  <w:tcW w:w="0" w:type="auto"/>
                  <w:tcBorders>
                    <w:top w:val="single" w:sz="4" w:space="0" w:color="auto"/>
                    <w:left w:val="double" w:sz="4" w:space="0" w:color="auto"/>
                    <w:bottom w:val="single" w:sz="4" w:space="0" w:color="auto"/>
                    <w:right w:val="single" w:sz="4" w:space="0" w:color="auto"/>
                  </w:tcBorders>
                </w:tcPr>
                <w:p w14:paraId="120E7121"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488</w:t>
                  </w:r>
                </w:p>
              </w:tc>
              <w:tc>
                <w:tcPr>
                  <w:tcW w:w="0" w:type="auto"/>
                  <w:tcBorders>
                    <w:top w:val="single" w:sz="4" w:space="0" w:color="auto"/>
                    <w:left w:val="single" w:sz="4" w:space="0" w:color="auto"/>
                    <w:bottom w:val="single" w:sz="4" w:space="0" w:color="auto"/>
                    <w:right w:val="single" w:sz="4" w:space="0" w:color="auto"/>
                  </w:tcBorders>
                </w:tcPr>
                <w:p w14:paraId="4F16B04A"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1000</w:t>
                  </w:r>
                </w:p>
              </w:tc>
              <w:tc>
                <w:tcPr>
                  <w:tcW w:w="0" w:type="auto"/>
                  <w:tcBorders>
                    <w:top w:val="single" w:sz="4" w:space="0" w:color="auto"/>
                    <w:left w:val="single" w:sz="4" w:space="0" w:color="auto"/>
                    <w:bottom w:val="single" w:sz="4" w:space="0" w:color="auto"/>
                    <w:right w:val="single" w:sz="4" w:space="0" w:color="auto"/>
                  </w:tcBorders>
                </w:tcPr>
                <w:p w14:paraId="3475F4A7"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1480</w:t>
                  </w:r>
                </w:p>
              </w:tc>
              <w:tc>
                <w:tcPr>
                  <w:tcW w:w="0" w:type="auto"/>
                  <w:tcBorders>
                    <w:top w:val="single" w:sz="4" w:space="0" w:color="auto"/>
                    <w:left w:val="single" w:sz="4" w:space="0" w:color="auto"/>
                    <w:bottom w:val="single" w:sz="4" w:space="0" w:color="auto"/>
                    <w:right w:val="single" w:sz="4" w:space="0" w:color="auto"/>
                  </w:tcBorders>
                </w:tcPr>
                <w:p w14:paraId="2C37887B"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1992</w:t>
                  </w:r>
                </w:p>
              </w:tc>
              <w:tc>
                <w:tcPr>
                  <w:tcW w:w="0" w:type="auto"/>
                  <w:tcBorders>
                    <w:top w:val="single" w:sz="4" w:space="0" w:color="auto"/>
                    <w:left w:val="single" w:sz="4" w:space="0" w:color="auto"/>
                    <w:bottom w:val="single" w:sz="4" w:space="0" w:color="auto"/>
                    <w:right w:val="single" w:sz="4" w:space="0" w:color="auto"/>
                  </w:tcBorders>
                </w:tcPr>
                <w:p w14:paraId="697B9A0B" w14:textId="77777777" w:rsidR="001F0D47" w:rsidRPr="001F0D47" w:rsidRDefault="001F0D47" w:rsidP="001F0D47">
                  <w:pPr>
                    <w:overflowPunct/>
                    <w:autoSpaceDE/>
                    <w:autoSpaceDN/>
                    <w:adjustRightInd/>
                    <w:spacing w:after="0"/>
                    <w:jc w:val="center"/>
                    <w:textAlignment w:val="auto"/>
                    <w:rPr>
                      <w:rFonts w:eastAsia="Batang"/>
                      <w:sz w:val="16"/>
                      <w:szCs w:val="16"/>
                      <w:highlight w:val="yellow"/>
                      <w:lang w:eastAsia="x-none"/>
                    </w:rPr>
                  </w:pPr>
                  <w:r w:rsidRPr="001F0D47">
                    <w:rPr>
                      <w:rFonts w:eastAsia="Malgun Gothic"/>
                      <w:sz w:val="16"/>
                      <w:szCs w:val="16"/>
                      <w:highlight w:val="green"/>
                      <w:lang w:eastAsia="zh-CN"/>
                    </w:rPr>
                    <w:t>2472</w:t>
                  </w:r>
                </w:p>
              </w:tc>
              <w:tc>
                <w:tcPr>
                  <w:tcW w:w="0" w:type="auto"/>
                  <w:tcBorders>
                    <w:top w:val="single" w:sz="4" w:space="0" w:color="auto"/>
                    <w:left w:val="single" w:sz="4" w:space="0" w:color="auto"/>
                    <w:bottom w:val="single" w:sz="4" w:space="0" w:color="auto"/>
                    <w:right w:val="single" w:sz="4" w:space="0" w:color="auto"/>
                  </w:tcBorders>
                </w:tcPr>
                <w:p w14:paraId="45D17D26"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2984</w:t>
                  </w:r>
                </w:p>
              </w:tc>
              <w:tc>
                <w:tcPr>
                  <w:tcW w:w="0" w:type="auto"/>
                  <w:tcBorders>
                    <w:top w:val="single" w:sz="4" w:space="0" w:color="auto"/>
                    <w:left w:val="single" w:sz="4" w:space="0" w:color="auto"/>
                    <w:bottom w:val="single" w:sz="4" w:space="0" w:color="auto"/>
                    <w:right w:val="single" w:sz="4" w:space="0" w:color="auto"/>
                  </w:tcBorders>
                </w:tcPr>
                <w:p w14:paraId="10BAFCE4"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4008</w:t>
                  </w:r>
                </w:p>
              </w:tc>
              <w:tc>
                <w:tcPr>
                  <w:tcW w:w="0" w:type="auto"/>
                  <w:tcBorders>
                    <w:top w:val="single" w:sz="4" w:space="0" w:color="auto"/>
                    <w:left w:val="single" w:sz="4" w:space="0" w:color="auto"/>
                    <w:bottom w:val="single" w:sz="4" w:space="0" w:color="auto"/>
                    <w:right w:val="single" w:sz="4" w:space="0" w:color="auto"/>
                  </w:tcBorders>
                </w:tcPr>
                <w:p w14:paraId="70846162" w14:textId="77777777" w:rsidR="001F0D47" w:rsidRPr="001F0D47" w:rsidRDefault="001F0D47" w:rsidP="001F0D47">
                  <w:pPr>
                    <w:overflowPunct/>
                    <w:autoSpaceDE/>
                    <w:autoSpaceDN/>
                    <w:adjustRightInd/>
                    <w:spacing w:after="0"/>
                    <w:jc w:val="center"/>
                    <w:textAlignment w:val="auto"/>
                    <w:rPr>
                      <w:rFonts w:eastAsia="Batang"/>
                      <w:sz w:val="16"/>
                      <w:szCs w:val="16"/>
                      <w:lang w:eastAsia="x-none"/>
                    </w:rPr>
                  </w:pPr>
                  <w:r w:rsidRPr="001F0D47">
                    <w:rPr>
                      <w:rFonts w:eastAsia="Batang"/>
                      <w:sz w:val="16"/>
                      <w:szCs w:val="16"/>
                      <w:lang w:eastAsia="x-none"/>
                    </w:rPr>
                    <w:t>4968</w:t>
                  </w:r>
                </w:p>
              </w:tc>
            </w:tr>
          </w:tbl>
          <w:p w14:paraId="03BE6135" w14:textId="77777777" w:rsidR="001F0D47" w:rsidRPr="001F0D47" w:rsidRDefault="001F0D47" w:rsidP="001F0D47">
            <w:pPr>
              <w:overflowPunct/>
              <w:autoSpaceDE/>
              <w:autoSpaceDN/>
              <w:adjustRightInd/>
              <w:spacing w:after="0"/>
              <w:textAlignment w:val="auto"/>
              <w:rPr>
                <w:rFonts w:ascii="Times" w:eastAsia="Batang" w:hAnsi="Times" w:cs="Times"/>
                <w:lang w:eastAsia="x-none"/>
              </w:rPr>
            </w:pPr>
          </w:p>
          <w:p w14:paraId="67F20D22" w14:textId="550A34FA" w:rsidR="00B33EF9" w:rsidRPr="0001403B" w:rsidRDefault="00B33EF9" w:rsidP="001F0D47">
            <w:pPr>
              <w:overflowPunct/>
              <w:autoSpaceDE/>
              <w:autoSpaceDN/>
              <w:adjustRightInd/>
              <w:spacing w:after="0"/>
              <w:textAlignment w:val="auto"/>
              <w:rPr>
                <w:rFonts w:cs="Times"/>
                <w:sz w:val="18"/>
                <w:szCs w:val="16"/>
              </w:rPr>
            </w:pPr>
          </w:p>
        </w:tc>
      </w:tr>
    </w:tbl>
    <w:p w14:paraId="51944FE4" w14:textId="4AD9CC2A" w:rsidR="005C1833" w:rsidRDefault="005C1833" w:rsidP="00631DF9">
      <w:pPr>
        <w:spacing w:after="0"/>
        <w:jc w:val="both"/>
      </w:pPr>
    </w:p>
    <w:p w14:paraId="64B1601F" w14:textId="2FC1DCC4" w:rsidR="00B33EF9" w:rsidRDefault="00C21CE0" w:rsidP="00F83E46">
      <w:pPr>
        <w:jc w:val="both"/>
      </w:pPr>
      <w:r>
        <w:lastRenderedPageBreak/>
        <w:t>Moreover, t</w:t>
      </w:r>
      <w:r w:rsidR="00B33EF9">
        <w:t xml:space="preserve">ouching upon the </w:t>
      </w:r>
      <w:r>
        <w:t xml:space="preserve">breaking-point </w:t>
      </w:r>
      <w:r w:rsidR="001F0D47">
        <w:t>for stand-alone and guard-band deployments</w:t>
      </w:r>
      <w:r>
        <w:t>, the following agreements were reached</w:t>
      </w:r>
      <w:r w:rsidR="005E78EE">
        <w:t xml:space="preserve"> [2]</w:t>
      </w:r>
      <w:r w:rsidR="00B33EF9">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1F0D47" w14:paraId="2D98B3B3" w14:textId="77777777" w:rsidTr="001F0D47">
        <w:tc>
          <w:tcPr>
            <w:tcW w:w="9629" w:type="dxa"/>
          </w:tcPr>
          <w:p w14:paraId="67516445" w14:textId="77777777" w:rsidR="002E74C4" w:rsidRPr="002E74C4" w:rsidRDefault="002E74C4" w:rsidP="002E74C4">
            <w:pPr>
              <w:overflowPunct/>
              <w:autoSpaceDE/>
              <w:autoSpaceDN/>
              <w:adjustRightInd/>
              <w:spacing w:after="0"/>
              <w:textAlignment w:val="auto"/>
              <w:rPr>
                <w:rFonts w:ascii="Times" w:eastAsia="Batang" w:hAnsi="Times"/>
                <w:b/>
                <w:bCs/>
                <w:sz w:val="18"/>
                <w:szCs w:val="18"/>
                <w:highlight w:val="green"/>
                <w:lang w:eastAsia="x-none"/>
              </w:rPr>
            </w:pPr>
            <w:r w:rsidRPr="002E74C4">
              <w:rPr>
                <w:rFonts w:ascii="Times" w:eastAsia="Batang" w:hAnsi="Times"/>
                <w:b/>
                <w:bCs/>
                <w:sz w:val="18"/>
                <w:szCs w:val="18"/>
                <w:highlight w:val="green"/>
                <w:lang w:eastAsia="x-none"/>
              </w:rPr>
              <w:t>Agreement</w:t>
            </w:r>
          </w:p>
          <w:p w14:paraId="3880A7F9" w14:textId="77777777" w:rsidR="002E74C4" w:rsidRPr="002E74C4" w:rsidRDefault="002E74C4" w:rsidP="002E74C4">
            <w:pPr>
              <w:suppressAutoHyphens/>
              <w:autoSpaceDN/>
              <w:adjustRightInd/>
              <w:spacing w:after="0"/>
              <w:jc w:val="both"/>
              <w:rPr>
                <w:rFonts w:ascii="Times" w:eastAsia="Batang" w:hAnsi="Times"/>
                <w:sz w:val="18"/>
                <w:szCs w:val="18"/>
                <w:lang w:eastAsia="en-US"/>
              </w:rPr>
            </w:pPr>
            <w:r w:rsidRPr="002E74C4">
              <w:rPr>
                <w:rFonts w:ascii="Times" w:eastAsia="Batang" w:hAnsi="Times"/>
                <w:sz w:val="18"/>
                <w:szCs w:val="18"/>
                <w:lang w:eastAsia="en-US"/>
              </w:rPr>
              <w:t>Confirm the working assumption:</w:t>
            </w:r>
          </w:p>
          <w:p w14:paraId="3AB8CD6E" w14:textId="77777777" w:rsidR="002E74C4" w:rsidRPr="002E74C4" w:rsidRDefault="002E74C4" w:rsidP="002E74C4">
            <w:pPr>
              <w:numPr>
                <w:ilvl w:val="0"/>
                <w:numId w:val="26"/>
              </w:numPr>
              <w:overflowPunct/>
              <w:autoSpaceDE/>
              <w:autoSpaceDN/>
              <w:adjustRightInd/>
              <w:spacing w:after="0"/>
              <w:contextualSpacing/>
              <w:textAlignment w:val="auto"/>
              <w:rPr>
                <w:rFonts w:ascii="Times" w:eastAsia="Batang" w:hAnsi="Times"/>
                <w:sz w:val="18"/>
                <w:szCs w:val="18"/>
                <w:lang w:eastAsia="en-US"/>
              </w:rPr>
            </w:pPr>
            <w:r w:rsidRPr="002E74C4">
              <w:rPr>
                <w:rFonts w:ascii="Times" w:eastAsia="Batang" w:hAnsi="Times"/>
                <w:sz w:val="18"/>
                <w:szCs w:val="18"/>
                <w:lang w:eastAsia="en-US"/>
              </w:rPr>
              <w:t>For standalone and guardband deployments, the downlink TBS entries between 14 (TBS of 2856 for I_SF=7) and 21 are used for 16QAM.</w:t>
            </w:r>
          </w:p>
          <w:p w14:paraId="3CB602DD" w14:textId="77777777" w:rsidR="001F0D47" w:rsidRDefault="001F0D47" w:rsidP="00F83E46">
            <w:pPr>
              <w:jc w:val="both"/>
            </w:pPr>
          </w:p>
        </w:tc>
      </w:tr>
    </w:tbl>
    <w:p w14:paraId="41315465" w14:textId="77777777" w:rsidR="001F0D47" w:rsidRDefault="001F0D47" w:rsidP="00F83E46">
      <w:pPr>
        <w:jc w:val="both"/>
      </w:pPr>
    </w:p>
    <w:p w14:paraId="5D5FBB83" w14:textId="167C392A" w:rsidR="001F0D47" w:rsidRDefault="00C21CE0" w:rsidP="00F83E46">
      <w:pPr>
        <w:jc w:val="both"/>
      </w:pPr>
      <w:r>
        <w:t>Previously in RAN1# 104-e</w:t>
      </w:r>
      <w:r w:rsidR="005E78EE">
        <w:t xml:space="preserve"> [3]</w:t>
      </w:r>
      <w:r>
        <w:t xml:space="preserve">, </w:t>
      </w:r>
      <w:r w:rsidR="005E78EE">
        <w:t>the</w:t>
      </w:r>
      <w:r w:rsidR="001F0D47">
        <w:t xml:space="preserve"> following </w:t>
      </w:r>
      <w:r w:rsidR="005E78EE">
        <w:t>had been</w:t>
      </w:r>
      <w:r w:rsidR="001F0D47">
        <w:t xml:space="preserve"> agreed</w:t>
      </w:r>
      <w:r>
        <w:t xml:space="preserve"> for the breaking-point </w:t>
      </w:r>
      <w:r w:rsidR="005E78EE">
        <w:t>related to the</w:t>
      </w:r>
      <w:r>
        <w:t xml:space="preserve"> in-band deployments</w:t>
      </w:r>
      <w:r w:rsidR="001F0D47">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F829F4" w14:paraId="4A0E4080" w14:textId="77777777" w:rsidTr="005E0941">
        <w:tc>
          <w:tcPr>
            <w:tcW w:w="9629" w:type="dxa"/>
          </w:tcPr>
          <w:p w14:paraId="0936167F" w14:textId="7B09C380" w:rsidR="00F829F4" w:rsidRDefault="00F829F4" w:rsidP="00F829F4">
            <w:pPr>
              <w:overflowPunct/>
              <w:autoSpaceDE/>
              <w:autoSpaceDN/>
              <w:adjustRightInd/>
              <w:spacing w:after="0"/>
              <w:textAlignment w:val="auto"/>
              <w:rPr>
                <w:rFonts w:cs="Times"/>
                <w:sz w:val="18"/>
                <w:szCs w:val="16"/>
              </w:rPr>
            </w:pPr>
          </w:p>
          <w:p w14:paraId="48DCAC07" w14:textId="77777777" w:rsidR="00F829F4" w:rsidRPr="00684B75" w:rsidRDefault="00F829F4" w:rsidP="00F829F4">
            <w:pPr>
              <w:overflowPunct/>
              <w:autoSpaceDE/>
              <w:autoSpaceDN/>
              <w:adjustRightInd/>
              <w:spacing w:after="0"/>
              <w:textAlignment w:val="auto"/>
              <w:rPr>
                <w:rFonts w:ascii="Times" w:eastAsia="Batang" w:hAnsi="Times"/>
                <w:b/>
                <w:bCs/>
                <w:sz w:val="18"/>
                <w:szCs w:val="18"/>
                <w:highlight w:val="green"/>
                <w:lang w:eastAsia="x-none"/>
              </w:rPr>
            </w:pPr>
            <w:r w:rsidRPr="00684B75">
              <w:rPr>
                <w:rFonts w:ascii="Times" w:eastAsia="Batang" w:hAnsi="Times"/>
                <w:b/>
                <w:bCs/>
                <w:sz w:val="18"/>
                <w:szCs w:val="18"/>
                <w:highlight w:val="green"/>
                <w:lang w:eastAsia="x-none"/>
              </w:rPr>
              <w:t>Agreement</w:t>
            </w:r>
          </w:p>
          <w:p w14:paraId="54C0654E" w14:textId="77777777" w:rsidR="00F829F4" w:rsidRPr="00684B75" w:rsidRDefault="00F829F4" w:rsidP="00F829F4">
            <w:pPr>
              <w:suppressAutoHyphens/>
              <w:autoSpaceDN/>
              <w:adjustRightInd/>
              <w:spacing w:after="0"/>
              <w:jc w:val="both"/>
              <w:rPr>
                <w:rFonts w:ascii="Times" w:eastAsia="Times New Roman" w:hAnsi="Times" w:cs="Times"/>
                <w:sz w:val="18"/>
                <w:szCs w:val="18"/>
                <w:lang w:eastAsia="ar-SA"/>
              </w:rPr>
            </w:pPr>
            <w:r w:rsidRPr="00684B75">
              <w:rPr>
                <w:rFonts w:ascii="Times" w:eastAsia="Times New Roman" w:hAnsi="Times" w:cs="Times"/>
                <w:sz w:val="18"/>
                <w:szCs w:val="18"/>
                <w:lang w:eastAsia="ar-SA"/>
              </w:rPr>
              <w:t>The following working assumption is confirmed with following modifications:</w:t>
            </w:r>
          </w:p>
          <w:p w14:paraId="76A6E8C7" w14:textId="7BC0A1AA" w:rsidR="00F829F4" w:rsidRPr="00684B75" w:rsidRDefault="00F829F4" w:rsidP="00247762">
            <w:pPr>
              <w:numPr>
                <w:ilvl w:val="0"/>
                <w:numId w:val="26"/>
              </w:numPr>
              <w:overflowPunct/>
              <w:autoSpaceDE/>
              <w:autoSpaceDN/>
              <w:adjustRightInd/>
              <w:spacing w:after="0"/>
              <w:contextualSpacing/>
              <w:textAlignment w:val="auto"/>
              <w:rPr>
                <w:rFonts w:ascii="Times" w:eastAsia="Batang" w:hAnsi="Times" w:cs="Times"/>
                <w:sz w:val="18"/>
                <w:szCs w:val="18"/>
                <w:lang w:eastAsia="x-none"/>
              </w:rPr>
            </w:pPr>
            <w:bookmarkStart w:id="3" w:name="_Hlk65678158"/>
            <w:r w:rsidRPr="00684B75">
              <w:rPr>
                <w:rFonts w:ascii="Times" w:eastAsia="Batang" w:hAnsi="Times" w:cs="Times"/>
                <w:sz w:val="18"/>
                <w:szCs w:val="18"/>
                <w:lang w:eastAsia="x-none"/>
              </w:rPr>
              <w:t xml:space="preserve">For inband deployments, the downlink TBS entries between 11 (TBS of 2024 for I_SF=7) and </w:t>
            </w:r>
            <w:r w:rsidRPr="00684B75">
              <w:rPr>
                <w:rFonts w:ascii="Times" w:eastAsia="Batang" w:hAnsi="Times" w:cs="Times"/>
                <w:strike/>
                <w:color w:val="FF0000"/>
                <w:sz w:val="18"/>
                <w:szCs w:val="18"/>
                <w:lang w:eastAsia="x-none"/>
              </w:rPr>
              <w:t>[</w:t>
            </w:r>
            <w:r w:rsidRPr="00684B75">
              <w:rPr>
                <w:rFonts w:ascii="Times" w:eastAsia="Batang" w:hAnsi="Times" w:cs="Times"/>
                <w:sz w:val="18"/>
                <w:szCs w:val="18"/>
                <w:lang w:eastAsia="x-none"/>
              </w:rPr>
              <w:t>17</w:t>
            </w:r>
            <w:r w:rsidRPr="00684B75">
              <w:rPr>
                <w:rFonts w:ascii="Times" w:eastAsia="Batang" w:hAnsi="Times" w:cs="Times"/>
                <w:strike/>
                <w:color w:val="FF0000"/>
                <w:sz w:val="18"/>
                <w:szCs w:val="18"/>
                <w:lang w:eastAsia="x-none"/>
              </w:rPr>
              <w:t>]</w:t>
            </w:r>
            <w:r w:rsidRPr="00684B75">
              <w:rPr>
                <w:rFonts w:ascii="Times" w:eastAsia="Batang" w:hAnsi="Times" w:cs="Times"/>
                <w:sz w:val="18"/>
                <w:szCs w:val="18"/>
                <w:lang w:eastAsia="x-none"/>
              </w:rPr>
              <w:t xml:space="preserve"> are used for 16QAM.</w:t>
            </w:r>
          </w:p>
          <w:bookmarkEnd w:id="3"/>
          <w:p w14:paraId="01FC607D" w14:textId="151607CE" w:rsidR="00F829F4" w:rsidRPr="0001403B" w:rsidRDefault="00F829F4" w:rsidP="00F829F4">
            <w:pPr>
              <w:overflowPunct/>
              <w:autoSpaceDE/>
              <w:autoSpaceDN/>
              <w:adjustRightInd/>
              <w:spacing w:after="0"/>
              <w:textAlignment w:val="auto"/>
              <w:rPr>
                <w:rFonts w:cs="Times"/>
                <w:sz w:val="18"/>
                <w:szCs w:val="16"/>
              </w:rPr>
            </w:pPr>
          </w:p>
        </w:tc>
      </w:tr>
    </w:tbl>
    <w:p w14:paraId="338A135F" w14:textId="77777777" w:rsidR="00B33EF9" w:rsidRDefault="00B33EF9" w:rsidP="00F83E46">
      <w:pPr>
        <w:jc w:val="both"/>
      </w:pPr>
    </w:p>
    <w:p w14:paraId="7B93A862" w14:textId="58A91855" w:rsidR="005E78EE" w:rsidRDefault="005E78EE" w:rsidP="00F83E46">
      <w:pPr>
        <w:jc w:val="both"/>
      </w:pPr>
      <w:r>
        <w:t xml:space="preserve">The above set of agreements completed the </w:t>
      </w:r>
      <w:r w:rsidRPr="005C1833">
        <w:t>TBS/MCS table desig</w:t>
      </w:r>
      <w:r>
        <w:t xml:space="preserve">n </w:t>
      </w:r>
      <w:r w:rsidRPr="005C1833">
        <w:t>to support 16</w:t>
      </w:r>
      <w:r>
        <w:t>-</w:t>
      </w:r>
      <w:r w:rsidRPr="005C1833">
        <w:t>QAM in DL</w:t>
      </w:r>
      <w:r>
        <w:t>, and towards discussing the DCI design the following agreement was reached [2]:</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5E78EE" w14:paraId="0A00B8E9" w14:textId="77777777" w:rsidTr="005E78EE">
        <w:tc>
          <w:tcPr>
            <w:tcW w:w="9629" w:type="dxa"/>
          </w:tcPr>
          <w:p w14:paraId="711C5F49" w14:textId="77777777" w:rsidR="005E78EE" w:rsidRPr="005E78EE" w:rsidRDefault="005E78EE" w:rsidP="005E78EE">
            <w:pPr>
              <w:overflowPunct/>
              <w:autoSpaceDE/>
              <w:autoSpaceDN/>
              <w:adjustRightInd/>
              <w:spacing w:after="0"/>
              <w:textAlignment w:val="auto"/>
              <w:rPr>
                <w:rFonts w:ascii="Times" w:eastAsia="Batang" w:hAnsi="Times"/>
                <w:b/>
                <w:bCs/>
                <w:sz w:val="18"/>
                <w:szCs w:val="18"/>
                <w:highlight w:val="green"/>
                <w:lang w:eastAsia="x-none"/>
              </w:rPr>
            </w:pPr>
            <w:r w:rsidRPr="005E78EE">
              <w:rPr>
                <w:rFonts w:ascii="Times" w:eastAsia="Batang" w:hAnsi="Times"/>
                <w:b/>
                <w:bCs/>
                <w:sz w:val="18"/>
                <w:szCs w:val="18"/>
                <w:highlight w:val="green"/>
                <w:lang w:eastAsia="x-none"/>
              </w:rPr>
              <w:t>Agreement</w:t>
            </w:r>
          </w:p>
          <w:p w14:paraId="68805B71" w14:textId="77777777" w:rsidR="005E78EE" w:rsidRPr="005E78EE" w:rsidRDefault="005E78EE" w:rsidP="005E78EE">
            <w:pPr>
              <w:suppressAutoHyphens/>
              <w:autoSpaceDN/>
              <w:adjustRightInd/>
              <w:spacing w:after="0"/>
              <w:rPr>
                <w:rFonts w:ascii="Times" w:eastAsia="Times New Roman" w:hAnsi="Times" w:cs="Times"/>
                <w:sz w:val="18"/>
                <w:szCs w:val="18"/>
                <w:lang w:eastAsia="ar-SA"/>
              </w:rPr>
            </w:pPr>
            <w:r w:rsidRPr="005E78EE">
              <w:rPr>
                <w:rFonts w:ascii="Times" w:eastAsia="Times New Roman" w:hAnsi="Times" w:cs="Times"/>
                <w:sz w:val="18"/>
                <w:szCs w:val="18"/>
                <w:lang w:eastAsia="ar-SA"/>
              </w:rPr>
              <w:t>The following options o</w:t>
            </w:r>
            <w:r w:rsidRPr="005E78EE">
              <w:rPr>
                <w:rFonts w:ascii="Times" w:eastAsia="Times New Roman" w:hAnsi="Times" w:cs="Times" w:hint="eastAsia"/>
                <w:sz w:val="18"/>
                <w:szCs w:val="18"/>
                <w:lang w:eastAsia="ar-SA"/>
              </w:rPr>
              <w:t xml:space="preserve">n the indication </w:t>
            </w:r>
            <w:r w:rsidRPr="005E78EE">
              <w:rPr>
                <w:rFonts w:ascii="Times" w:eastAsia="Times New Roman" w:hAnsi="Times" w:cs="Times"/>
                <w:sz w:val="18"/>
                <w:szCs w:val="18"/>
                <w:lang w:eastAsia="ar-SA"/>
              </w:rPr>
              <w:t>of downlink 16-QAM can be considered:</w:t>
            </w:r>
          </w:p>
          <w:p w14:paraId="1F40FBDC" w14:textId="77777777" w:rsidR="005E78EE" w:rsidRPr="005E78EE" w:rsidRDefault="005E78EE" w:rsidP="005E78EE">
            <w:pPr>
              <w:numPr>
                <w:ilvl w:val="0"/>
                <w:numId w:val="39"/>
              </w:numPr>
              <w:overflowPunct/>
              <w:autoSpaceDE/>
              <w:autoSpaceDN/>
              <w:adjustRightInd/>
              <w:spacing w:after="0"/>
              <w:textAlignment w:val="auto"/>
              <w:rPr>
                <w:rFonts w:ascii="Times" w:eastAsia="Times New Roman" w:hAnsi="Times" w:cs="Times"/>
                <w:sz w:val="18"/>
                <w:szCs w:val="18"/>
                <w:lang w:eastAsia="ar-SA"/>
              </w:rPr>
            </w:pPr>
            <w:r w:rsidRPr="005E78EE">
              <w:rPr>
                <w:rFonts w:ascii="Times" w:eastAsia="Times New Roman" w:hAnsi="Times" w:cs="Times"/>
                <w:sz w:val="18"/>
                <w:szCs w:val="18"/>
                <w:lang w:eastAsia="ar-SA"/>
              </w:rPr>
              <w:t>Option 1: MCS field is increased to 5 bits to indicate modulation and TBS, and repetition field is reduced to 3 bits to indicate the repetition number;</w:t>
            </w:r>
          </w:p>
          <w:p w14:paraId="1B0AD96D" w14:textId="77777777" w:rsidR="005E78EE" w:rsidRPr="005E78EE" w:rsidRDefault="005E78EE" w:rsidP="005E78EE">
            <w:pPr>
              <w:numPr>
                <w:ilvl w:val="0"/>
                <w:numId w:val="39"/>
              </w:numPr>
              <w:overflowPunct/>
              <w:autoSpaceDE/>
              <w:autoSpaceDN/>
              <w:adjustRightInd/>
              <w:spacing w:after="0"/>
              <w:textAlignment w:val="auto"/>
              <w:rPr>
                <w:rFonts w:ascii="Times" w:eastAsia="Times New Roman" w:hAnsi="Times" w:cs="Times"/>
                <w:sz w:val="18"/>
                <w:szCs w:val="18"/>
                <w:lang w:eastAsia="ar-SA"/>
              </w:rPr>
            </w:pPr>
            <w:r w:rsidRPr="005E78EE">
              <w:rPr>
                <w:rFonts w:ascii="Times" w:eastAsia="Times New Roman" w:hAnsi="Times" w:cs="Times"/>
                <w:sz w:val="18"/>
                <w:szCs w:val="18"/>
                <w:lang w:eastAsia="ar-SA"/>
              </w:rPr>
              <w:t>Option 2: MCS field is 4 bits to indicate TBS, and repetition field is reduced to 3 bits to indicate the repetition number;</w:t>
            </w:r>
          </w:p>
          <w:p w14:paraId="0A43EE69" w14:textId="77777777" w:rsidR="005E78EE" w:rsidRPr="005E78EE" w:rsidRDefault="005E78EE" w:rsidP="005E78EE">
            <w:pPr>
              <w:numPr>
                <w:ilvl w:val="1"/>
                <w:numId w:val="39"/>
              </w:numPr>
              <w:overflowPunct/>
              <w:autoSpaceDE/>
              <w:autoSpaceDN/>
              <w:adjustRightInd/>
              <w:spacing w:after="0"/>
              <w:textAlignment w:val="auto"/>
              <w:rPr>
                <w:rFonts w:ascii="Times" w:eastAsia="Times New Roman" w:hAnsi="Times" w:cs="Times"/>
                <w:sz w:val="18"/>
                <w:szCs w:val="18"/>
                <w:lang w:eastAsia="ar-SA"/>
              </w:rPr>
            </w:pPr>
            <w:r w:rsidRPr="005E78EE">
              <w:rPr>
                <w:rFonts w:ascii="Times" w:eastAsia="Times New Roman" w:hAnsi="Times" w:cs="Times"/>
                <w:sz w:val="18"/>
                <w:szCs w:val="18"/>
                <w:lang w:eastAsia="ar-SA"/>
              </w:rPr>
              <w:t>1 bit is used to indicate legacy QPSK or 16QAM</w:t>
            </w:r>
          </w:p>
          <w:p w14:paraId="6B1DF461" w14:textId="77777777" w:rsidR="005E78EE" w:rsidRPr="005E78EE" w:rsidRDefault="005E78EE" w:rsidP="005E78EE">
            <w:pPr>
              <w:numPr>
                <w:ilvl w:val="0"/>
                <w:numId w:val="39"/>
              </w:numPr>
              <w:overflowPunct/>
              <w:autoSpaceDE/>
              <w:autoSpaceDN/>
              <w:adjustRightInd/>
              <w:spacing w:after="0"/>
              <w:textAlignment w:val="auto"/>
              <w:rPr>
                <w:rFonts w:ascii="Times" w:eastAsia="Times New Roman" w:hAnsi="Times" w:cs="Times"/>
                <w:sz w:val="18"/>
                <w:szCs w:val="18"/>
                <w:lang w:eastAsia="ar-SA"/>
              </w:rPr>
            </w:pPr>
            <w:r w:rsidRPr="005E78EE">
              <w:rPr>
                <w:rFonts w:ascii="Times" w:eastAsia="Times New Roman" w:hAnsi="Times" w:cs="Times"/>
                <w:sz w:val="18"/>
                <w:szCs w:val="18"/>
                <w:lang w:eastAsia="ar-SA"/>
              </w:rPr>
              <w:t>Option 3: MCS field is 4 bits to indicate modulation and TBS</w:t>
            </w:r>
          </w:p>
          <w:p w14:paraId="77351CF4" w14:textId="77777777" w:rsidR="005E78EE" w:rsidRPr="005E78EE" w:rsidRDefault="005E78EE" w:rsidP="005E78EE">
            <w:pPr>
              <w:numPr>
                <w:ilvl w:val="1"/>
                <w:numId w:val="39"/>
              </w:numPr>
              <w:overflowPunct/>
              <w:autoSpaceDE/>
              <w:autoSpaceDN/>
              <w:adjustRightInd/>
              <w:spacing w:after="0"/>
              <w:textAlignment w:val="auto"/>
              <w:rPr>
                <w:rFonts w:ascii="Times" w:eastAsia="Times New Roman" w:hAnsi="Times" w:cs="Times"/>
                <w:sz w:val="18"/>
                <w:szCs w:val="18"/>
                <w:lang w:eastAsia="ar-SA"/>
              </w:rPr>
            </w:pPr>
            <w:r w:rsidRPr="005E78EE">
              <w:rPr>
                <w:rFonts w:ascii="Times" w:eastAsia="Times New Roman" w:hAnsi="Times" w:cs="Times"/>
                <w:sz w:val="18"/>
                <w:szCs w:val="18"/>
                <w:lang w:eastAsia="ar-SA"/>
              </w:rPr>
              <w:t xml:space="preserve">A reserved state of MCS field indicates use of 16QAM, </w:t>
            </w:r>
          </w:p>
          <w:p w14:paraId="4BA4B640" w14:textId="77777777" w:rsidR="005E78EE" w:rsidRPr="005E78EE" w:rsidRDefault="005E78EE" w:rsidP="005E78EE">
            <w:pPr>
              <w:numPr>
                <w:ilvl w:val="1"/>
                <w:numId w:val="39"/>
              </w:numPr>
              <w:overflowPunct/>
              <w:autoSpaceDE/>
              <w:autoSpaceDN/>
              <w:adjustRightInd/>
              <w:spacing w:after="0"/>
              <w:textAlignment w:val="auto"/>
              <w:rPr>
                <w:rFonts w:ascii="Times" w:eastAsia="Times New Roman" w:hAnsi="Times" w:cs="Times"/>
                <w:sz w:val="18"/>
                <w:szCs w:val="18"/>
                <w:lang w:eastAsia="ar-SA"/>
              </w:rPr>
            </w:pPr>
            <w:r w:rsidRPr="005E78EE">
              <w:rPr>
                <w:rFonts w:ascii="Times" w:eastAsia="Times New Roman" w:hAnsi="Times" w:cs="Times"/>
                <w:sz w:val="18"/>
                <w:szCs w:val="18"/>
                <w:lang w:eastAsia="ar-SA"/>
              </w:rPr>
              <w:t>Repetition field indicates 16QAM MCS if 16QAM is indicated to be used.</w:t>
            </w:r>
          </w:p>
          <w:p w14:paraId="08F0879A" w14:textId="77777777" w:rsidR="005E78EE" w:rsidRPr="005E78EE" w:rsidRDefault="005E78EE" w:rsidP="005E78EE">
            <w:pPr>
              <w:numPr>
                <w:ilvl w:val="0"/>
                <w:numId w:val="39"/>
              </w:numPr>
              <w:overflowPunct/>
              <w:autoSpaceDE/>
              <w:autoSpaceDN/>
              <w:adjustRightInd/>
              <w:spacing w:after="0"/>
              <w:textAlignment w:val="auto"/>
              <w:rPr>
                <w:rFonts w:ascii="Times" w:eastAsia="Times New Roman" w:hAnsi="Times" w:cs="Times"/>
                <w:sz w:val="18"/>
                <w:szCs w:val="18"/>
                <w:lang w:eastAsia="ar-SA"/>
              </w:rPr>
            </w:pPr>
            <w:r w:rsidRPr="005E78EE">
              <w:rPr>
                <w:rFonts w:ascii="Times" w:eastAsia="Times New Roman" w:hAnsi="Times" w:cs="Times"/>
                <w:sz w:val="18"/>
                <w:szCs w:val="18"/>
                <w:lang w:eastAsia="ar-SA"/>
              </w:rPr>
              <w:t xml:space="preserve">Option 4: MCS is 4 bits, </w:t>
            </w:r>
          </w:p>
          <w:p w14:paraId="0E8EC3F7" w14:textId="77777777" w:rsidR="005E78EE" w:rsidRPr="005E78EE" w:rsidRDefault="005E78EE" w:rsidP="005E78EE">
            <w:pPr>
              <w:numPr>
                <w:ilvl w:val="1"/>
                <w:numId w:val="39"/>
              </w:numPr>
              <w:overflowPunct/>
              <w:autoSpaceDE/>
              <w:autoSpaceDN/>
              <w:adjustRightInd/>
              <w:spacing w:after="0"/>
              <w:textAlignment w:val="auto"/>
              <w:rPr>
                <w:rFonts w:ascii="Times" w:eastAsia="Times New Roman" w:hAnsi="Times" w:cs="Times"/>
                <w:sz w:val="18"/>
                <w:szCs w:val="18"/>
                <w:lang w:eastAsia="ar-SA"/>
              </w:rPr>
            </w:pPr>
            <w:r w:rsidRPr="005E78EE">
              <w:rPr>
                <w:rFonts w:ascii="Times" w:eastAsia="Times New Roman" w:hAnsi="Times" w:cs="Times"/>
                <w:sz w:val="18"/>
                <w:szCs w:val="18"/>
                <w:lang w:eastAsia="ar-SA"/>
              </w:rPr>
              <w:t>If repetition is indicated as one, 16QAM and QPSK can be indicated by MCS field;</w:t>
            </w:r>
          </w:p>
          <w:p w14:paraId="160083DE" w14:textId="77777777" w:rsidR="005E78EE" w:rsidRPr="005E78EE" w:rsidRDefault="005E78EE" w:rsidP="005E78EE">
            <w:pPr>
              <w:numPr>
                <w:ilvl w:val="1"/>
                <w:numId w:val="39"/>
              </w:numPr>
              <w:overflowPunct/>
              <w:autoSpaceDE/>
              <w:autoSpaceDN/>
              <w:adjustRightInd/>
              <w:spacing w:after="0"/>
              <w:textAlignment w:val="auto"/>
              <w:rPr>
                <w:rFonts w:ascii="Times" w:eastAsia="Times New Roman" w:hAnsi="Times" w:cs="Times"/>
                <w:sz w:val="18"/>
                <w:szCs w:val="18"/>
                <w:lang w:eastAsia="ar-SA"/>
              </w:rPr>
            </w:pPr>
            <w:r w:rsidRPr="005E78EE">
              <w:rPr>
                <w:rFonts w:ascii="Times" w:eastAsia="Times New Roman" w:hAnsi="Times" w:cs="Times"/>
                <w:sz w:val="18"/>
                <w:szCs w:val="18"/>
                <w:lang w:eastAsia="ar-SA"/>
              </w:rPr>
              <w:t>If repetition is indicated larger than one, the legacy QPSK MCS can be indicated by MCS field.</w:t>
            </w:r>
          </w:p>
          <w:p w14:paraId="2CCFAAC6" w14:textId="77777777" w:rsidR="005E78EE" w:rsidRPr="005E78EE" w:rsidRDefault="005E78EE" w:rsidP="005E78EE">
            <w:pPr>
              <w:numPr>
                <w:ilvl w:val="0"/>
                <w:numId w:val="39"/>
              </w:numPr>
              <w:overflowPunct/>
              <w:autoSpaceDE/>
              <w:autoSpaceDN/>
              <w:adjustRightInd/>
              <w:spacing w:after="0"/>
              <w:textAlignment w:val="auto"/>
              <w:rPr>
                <w:rFonts w:ascii="Times" w:eastAsia="Times New Roman" w:hAnsi="Times" w:cs="Times"/>
                <w:sz w:val="18"/>
                <w:szCs w:val="18"/>
                <w:lang w:eastAsia="ar-SA"/>
              </w:rPr>
            </w:pPr>
            <w:r w:rsidRPr="005E78EE">
              <w:rPr>
                <w:rFonts w:ascii="Times" w:eastAsia="Times New Roman" w:hAnsi="Times" w:cs="Times"/>
                <w:sz w:val="18"/>
                <w:szCs w:val="18"/>
                <w:lang w:eastAsia="ar-SA"/>
              </w:rPr>
              <w:t>Option 5: {repetition, MCS} are indicated by 8 bits (a combination of the MCS field and repetition field)</w:t>
            </w:r>
          </w:p>
          <w:p w14:paraId="11FB7A94" w14:textId="77777777" w:rsidR="005E78EE" w:rsidRPr="00684B75" w:rsidRDefault="005E78EE" w:rsidP="00684B75">
            <w:pPr>
              <w:numPr>
                <w:ilvl w:val="0"/>
                <w:numId w:val="39"/>
              </w:numPr>
              <w:overflowPunct/>
              <w:autoSpaceDE/>
              <w:autoSpaceDN/>
              <w:adjustRightInd/>
              <w:spacing w:after="0"/>
              <w:textAlignment w:val="auto"/>
              <w:rPr>
                <w:rFonts w:ascii="Times" w:eastAsia="Times New Roman" w:hAnsi="Times" w:cs="Times"/>
                <w:sz w:val="20"/>
                <w:szCs w:val="20"/>
                <w:lang w:eastAsia="ar-SA"/>
              </w:rPr>
            </w:pPr>
            <w:r w:rsidRPr="005E78EE">
              <w:rPr>
                <w:rFonts w:ascii="Times" w:eastAsia="Times New Roman" w:hAnsi="Times" w:cs="Times" w:hint="eastAsia"/>
                <w:sz w:val="18"/>
                <w:szCs w:val="18"/>
                <w:lang w:eastAsia="ar-SA"/>
              </w:rPr>
              <w:t>Note: other options are not precluded.</w:t>
            </w:r>
          </w:p>
          <w:p w14:paraId="121D52DE" w14:textId="7A1BA7A6" w:rsidR="00684B75" w:rsidRPr="00684B75" w:rsidRDefault="00684B75" w:rsidP="00684B75">
            <w:pPr>
              <w:overflowPunct/>
              <w:autoSpaceDE/>
              <w:autoSpaceDN/>
              <w:adjustRightInd/>
              <w:spacing w:after="0"/>
              <w:ind w:left="720"/>
              <w:textAlignment w:val="auto"/>
              <w:rPr>
                <w:rFonts w:ascii="Times" w:eastAsia="Times New Roman" w:hAnsi="Times" w:cs="Times"/>
                <w:sz w:val="20"/>
                <w:szCs w:val="20"/>
                <w:lang w:eastAsia="ar-SA"/>
              </w:rPr>
            </w:pPr>
          </w:p>
        </w:tc>
      </w:tr>
    </w:tbl>
    <w:p w14:paraId="61E99F76" w14:textId="77777777" w:rsidR="005E78EE" w:rsidRDefault="005E78EE" w:rsidP="00F83E46">
      <w:pPr>
        <w:jc w:val="both"/>
      </w:pPr>
    </w:p>
    <w:p w14:paraId="1DBD5D4A" w14:textId="79EB4DFD" w:rsidR="005E78EE" w:rsidRDefault="00672D4C" w:rsidP="00F83E46">
      <w:pPr>
        <w:jc w:val="both"/>
      </w:pPr>
      <w:r>
        <w:t>I</w:t>
      </w:r>
      <w:r w:rsidR="00CB4958">
        <w:t>n</w:t>
      </w:r>
      <w:r w:rsidR="00DE21B1">
        <w:t xml:space="preserve"> </w:t>
      </w:r>
      <w:r w:rsidR="005E78EE">
        <w:t>our view,</w:t>
      </w:r>
      <w:r w:rsidR="0052117C">
        <w:t xml:space="preserve"> Option 3 is preferred because the same design can be applied to both UL and DL. Below</w:t>
      </w:r>
      <w:r w:rsidR="00590122">
        <w:t xml:space="preserve"> we illustrate </w:t>
      </w:r>
      <w:r w:rsidR="00267329">
        <w:t>how</w:t>
      </w:r>
      <w:r w:rsidR="00590122">
        <w:t xml:space="preserve"> </w:t>
      </w:r>
      <w:r w:rsidR="00267329">
        <w:t>it</w:t>
      </w:r>
      <w:r w:rsidR="00590122">
        <w:t xml:space="preserve"> </w:t>
      </w:r>
      <w:r w:rsidR="00267329">
        <w:t>can be used in</w:t>
      </w:r>
      <w:r w:rsidR="00590122">
        <w:t xml:space="preserve"> DL </w:t>
      </w:r>
      <w:r w:rsidR="00267329">
        <w:t>to cover</w:t>
      </w:r>
      <w:r w:rsidR="00590122">
        <w:t xml:space="preserve"> both “stand-alone</w:t>
      </w:r>
      <w:r w:rsidR="00267329">
        <w:t>/</w:t>
      </w:r>
      <w:r w:rsidR="00590122">
        <w:t>guard-band deployments” and “in-band deployments”:</w:t>
      </w:r>
    </w:p>
    <w:p w14:paraId="6B1CEA2D" w14:textId="6096C845" w:rsidR="00267329" w:rsidRDefault="00267329" w:rsidP="00F83E46">
      <w:pPr>
        <w:jc w:val="both"/>
      </w:pPr>
      <w:r>
        <w:t>In DL, Option 3 aims at utilizing the following two fields in DCI Format N1:</w:t>
      </w:r>
    </w:p>
    <w:p w14:paraId="562D7698" w14:textId="2E96FAD0" w:rsidR="00590122" w:rsidRDefault="00590122" w:rsidP="00590122">
      <w:pPr>
        <w:pStyle w:val="ListParagraph"/>
        <w:numPr>
          <w:ilvl w:val="0"/>
          <w:numId w:val="40"/>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w:t>
      </w:r>
      <w:bookmarkStart w:id="4" w:name="_Hlk71058798"/>
      <w:r w:rsidR="00267329" w:rsidRPr="00267329">
        <w:rPr>
          <w:rFonts w:ascii="Times New Roman" w:eastAsia="SimSun" w:hAnsi="Times New Roman"/>
          <w:i/>
          <w:iCs/>
          <w:sz w:val="20"/>
          <w:szCs w:val="20"/>
          <w:lang w:val="en-GB" w:eastAsia="ja-JP"/>
        </w:rPr>
        <w:t>Modulation and coding scheme</w:t>
      </w:r>
      <w:r w:rsidR="00267329" w:rsidRPr="00267329">
        <w:rPr>
          <w:rFonts w:ascii="Times New Roman" w:eastAsia="SimSun" w:hAnsi="Times New Roman"/>
          <w:sz w:val="20"/>
          <w:szCs w:val="20"/>
          <w:lang w:val="en-GB" w:eastAsia="ja-JP"/>
        </w:rPr>
        <w:t xml:space="preserve"> – 4 bits </w:t>
      </w:r>
      <w:bookmarkEnd w:id="4"/>
      <w:r w:rsidR="00267329" w:rsidRPr="00267329">
        <w:rPr>
          <w:rFonts w:ascii="Times New Roman" w:eastAsia="SimSun" w:hAnsi="Times New Roman"/>
          <w:sz w:val="20"/>
          <w:szCs w:val="20"/>
          <w:lang w:val="en-GB" w:eastAsia="ja-JP"/>
        </w:rPr>
        <w:t>as defined in clause 16.4.1.5 of [3]</w:t>
      </w:r>
      <w:r>
        <w:rPr>
          <w:rFonts w:ascii="Times New Roman" w:eastAsia="SimSun" w:hAnsi="Times New Roman"/>
          <w:sz w:val="20"/>
          <w:szCs w:val="20"/>
          <w:lang w:val="en-GB" w:eastAsia="ja-JP"/>
        </w:rPr>
        <w:t>”</w:t>
      </w:r>
      <w:r w:rsidR="00267329">
        <w:rPr>
          <w:rFonts w:ascii="Times New Roman" w:eastAsia="SimSun" w:hAnsi="Times New Roman"/>
          <w:sz w:val="20"/>
          <w:szCs w:val="20"/>
          <w:lang w:val="en-GB" w:eastAsia="ja-JP"/>
        </w:rPr>
        <w:t xml:space="preserve">: Since </w:t>
      </w:r>
      <w:r w:rsidR="00E14C11">
        <w:rPr>
          <w:rFonts w:ascii="Times New Roman" w:eastAsia="SimSun" w:hAnsi="Times New Roman"/>
          <w:sz w:val="20"/>
          <w:szCs w:val="20"/>
          <w:lang w:val="en-GB" w:eastAsia="ja-JP"/>
        </w:rPr>
        <w:t xml:space="preserve">the </w:t>
      </w:r>
      <w:r w:rsidR="00267329">
        <w:rPr>
          <w:rFonts w:ascii="Times New Roman" w:eastAsia="SimSun" w:hAnsi="Times New Roman"/>
          <w:sz w:val="20"/>
          <w:szCs w:val="20"/>
          <w:lang w:val="en-GB" w:eastAsia="ja-JP"/>
        </w:rPr>
        <w:t>states “</w:t>
      </w:r>
      <w:r w:rsidR="00267329" w:rsidRPr="00267329">
        <w:rPr>
          <w:rFonts w:ascii="Times New Roman" w:eastAsia="SimSun" w:hAnsi="Times New Roman"/>
          <w:sz w:val="20"/>
          <w:szCs w:val="20"/>
          <w:lang w:val="en-GB" w:eastAsia="ja-JP"/>
        </w:rPr>
        <w:t>1110</w:t>
      </w:r>
      <w:r w:rsidR="00267329">
        <w:rPr>
          <w:rFonts w:ascii="Times New Roman" w:eastAsia="SimSun" w:hAnsi="Times New Roman"/>
          <w:sz w:val="20"/>
          <w:szCs w:val="20"/>
          <w:lang w:val="en-GB" w:eastAsia="ja-JP"/>
        </w:rPr>
        <w:t>” and “1111” are</w:t>
      </w:r>
      <w:r w:rsidR="00267329" w:rsidRPr="00267329">
        <w:rPr>
          <w:rFonts w:ascii="Times New Roman" w:eastAsia="SimSun" w:hAnsi="Times New Roman"/>
          <w:sz w:val="20"/>
          <w:szCs w:val="20"/>
          <w:lang w:val="en-GB" w:eastAsia="ja-JP"/>
        </w:rPr>
        <w:t xml:space="preserve"> not used, </w:t>
      </w:r>
      <w:r w:rsidR="00940F57">
        <w:rPr>
          <w:rFonts w:ascii="Times New Roman" w:eastAsia="SimSun" w:hAnsi="Times New Roman"/>
          <w:sz w:val="20"/>
          <w:szCs w:val="20"/>
          <w:lang w:val="en-GB" w:eastAsia="ja-JP"/>
        </w:rPr>
        <w:t>any of those reserved states</w:t>
      </w:r>
      <w:r w:rsidR="00267329" w:rsidRPr="00267329">
        <w:rPr>
          <w:rFonts w:ascii="Times New Roman" w:eastAsia="SimSun" w:hAnsi="Times New Roman"/>
          <w:sz w:val="20"/>
          <w:szCs w:val="20"/>
          <w:lang w:val="en-GB" w:eastAsia="ja-JP"/>
        </w:rPr>
        <w:t xml:space="preserve"> can be used </w:t>
      </w:r>
      <w:r w:rsidR="00267329">
        <w:rPr>
          <w:rFonts w:ascii="Times New Roman" w:eastAsia="SimSun" w:hAnsi="Times New Roman"/>
          <w:sz w:val="20"/>
          <w:szCs w:val="20"/>
          <w:lang w:val="en-GB" w:eastAsia="ja-JP"/>
        </w:rPr>
        <w:t>to</w:t>
      </w:r>
      <w:r w:rsidR="00267329" w:rsidRPr="00267329">
        <w:rPr>
          <w:rFonts w:ascii="Times New Roman" w:eastAsia="SimSun" w:hAnsi="Times New Roman"/>
          <w:sz w:val="20"/>
          <w:szCs w:val="20"/>
          <w:lang w:val="en-GB" w:eastAsia="ja-JP"/>
        </w:rPr>
        <w:t xml:space="preserve"> indicat</w:t>
      </w:r>
      <w:r w:rsidR="00267329">
        <w:rPr>
          <w:rFonts w:ascii="Times New Roman" w:eastAsia="SimSun" w:hAnsi="Times New Roman"/>
          <w:sz w:val="20"/>
          <w:szCs w:val="20"/>
          <w:lang w:val="en-GB" w:eastAsia="ja-JP"/>
        </w:rPr>
        <w:t>e</w:t>
      </w:r>
      <w:r w:rsidR="00940F57">
        <w:rPr>
          <w:rFonts w:ascii="Times New Roman" w:eastAsia="SimSun" w:hAnsi="Times New Roman"/>
          <w:sz w:val="20"/>
          <w:szCs w:val="20"/>
          <w:lang w:val="en-GB" w:eastAsia="ja-JP"/>
        </w:rPr>
        <w:t xml:space="preserve"> the use of </w:t>
      </w:r>
      <w:r w:rsidR="00E14C11">
        <w:rPr>
          <w:rFonts w:ascii="Times New Roman" w:eastAsia="SimSun" w:hAnsi="Times New Roman"/>
          <w:sz w:val="20"/>
          <w:szCs w:val="20"/>
          <w:lang w:val="en-GB" w:eastAsia="ja-JP"/>
        </w:rPr>
        <w:t>16-QAM.</w:t>
      </w:r>
    </w:p>
    <w:p w14:paraId="3E68582F" w14:textId="77777777" w:rsidR="00590122" w:rsidRDefault="00590122" w:rsidP="00590122">
      <w:pPr>
        <w:pStyle w:val="ListParagraph"/>
        <w:jc w:val="both"/>
        <w:rPr>
          <w:rFonts w:ascii="Times New Roman" w:eastAsia="SimSun" w:hAnsi="Times New Roman"/>
          <w:sz w:val="20"/>
          <w:szCs w:val="20"/>
          <w:lang w:val="en-GB" w:eastAsia="ja-JP"/>
        </w:rPr>
      </w:pPr>
    </w:p>
    <w:p w14:paraId="340685DF" w14:textId="0D40894F" w:rsidR="00267329" w:rsidRDefault="00590122" w:rsidP="00F83E46">
      <w:pPr>
        <w:pStyle w:val="ListParagraph"/>
        <w:numPr>
          <w:ilvl w:val="0"/>
          <w:numId w:val="40"/>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w:t>
      </w:r>
      <w:r w:rsidR="00267329" w:rsidRPr="00267329">
        <w:rPr>
          <w:rFonts w:ascii="Times New Roman" w:eastAsia="SimSun" w:hAnsi="Times New Roman"/>
          <w:i/>
          <w:iCs/>
          <w:sz w:val="20"/>
          <w:szCs w:val="20"/>
          <w:lang w:val="en-GB" w:eastAsia="ja-JP"/>
        </w:rPr>
        <w:t>Repetition number</w:t>
      </w:r>
      <w:r w:rsidR="00267329" w:rsidRPr="00267329">
        <w:rPr>
          <w:rFonts w:ascii="Times New Roman" w:eastAsia="SimSun" w:hAnsi="Times New Roman"/>
          <w:sz w:val="20"/>
          <w:szCs w:val="20"/>
          <w:lang w:val="en-GB" w:eastAsia="ja-JP"/>
        </w:rPr>
        <w:t xml:space="preserve"> – 4 bits as defined in clause 16.4.1.3 of [3]</w:t>
      </w:r>
      <w:r>
        <w:rPr>
          <w:rFonts w:ascii="Times New Roman" w:eastAsia="SimSun" w:hAnsi="Times New Roman"/>
          <w:sz w:val="20"/>
          <w:szCs w:val="20"/>
          <w:lang w:val="en-GB" w:eastAsia="ja-JP"/>
        </w:rPr>
        <w:t>”</w:t>
      </w:r>
      <w:r w:rsidR="00267329">
        <w:rPr>
          <w:rFonts w:ascii="Times New Roman" w:eastAsia="SimSun" w:hAnsi="Times New Roman"/>
          <w:sz w:val="20"/>
          <w:szCs w:val="20"/>
          <w:lang w:val="en-GB" w:eastAsia="ja-JP"/>
        </w:rPr>
        <w:t xml:space="preserve">: </w:t>
      </w:r>
      <w:r w:rsidR="00E14C11" w:rsidRPr="00E14C11">
        <w:rPr>
          <w:rFonts w:ascii="Times New Roman" w:eastAsia="SimSun" w:hAnsi="Times New Roman"/>
          <w:sz w:val="20"/>
          <w:szCs w:val="20"/>
          <w:lang w:val="en-GB" w:eastAsia="ja-JP"/>
        </w:rPr>
        <w:t>if “</w:t>
      </w:r>
      <w:r w:rsidR="00E14C11" w:rsidRPr="00E14C11">
        <w:rPr>
          <w:rFonts w:ascii="Times New Roman" w:eastAsia="SimSun" w:hAnsi="Times New Roman"/>
          <w:i/>
          <w:iCs/>
          <w:sz w:val="20"/>
          <w:szCs w:val="20"/>
          <w:lang w:val="en-GB" w:eastAsia="ja-JP"/>
        </w:rPr>
        <w:t>Modulation and coding scheme</w:t>
      </w:r>
      <w:r w:rsidR="00E14C11" w:rsidRPr="00E14C11">
        <w:rPr>
          <w:rFonts w:ascii="Times New Roman" w:eastAsia="SimSun" w:hAnsi="Times New Roman"/>
          <w:sz w:val="20"/>
          <w:szCs w:val="20"/>
          <w:lang w:val="en-GB" w:eastAsia="ja-JP"/>
        </w:rPr>
        <w:t xml:space="preserve">” indicates </w:t>
      </w:r>
      <w:r w:rsidR="00FB5E3F">
        <w:rPr>
          <w:rFonts w:ascii="Times New Roman" w:eastAsia="SimSun" w:hAnsi="Times New Roman"/>
          <w:sz w:val="20"/>
          <w:szCs w:val="20"/>
          <w:lang w:val="en-GB" w:eastAsia="ja-JP"/>
        </w:rPr>
        <w:t>for example</w:t>
      </w:r>
      <w:r w:rsidR="00E14C11">
        <w:rPr>
          <w:rFonts w:ascii="Times New Roman" w:eastAsia="SimSun" w:hAnsi="Times New Roman"/>
          <w:sz w:val="20"/>
          <w:szCs w:val="20"/>
          <w:lang w:val="en-GB" w:eastAsia="ja-JP"/>
        </w:rPr>
        <w:t xml:space="preserve"> “</w:t>
      </w:r>
      <w:r w:rsidR="00E14C11" w:rsidRPr="00E14C11">
        <w:rPr>
          <w:rFonts w:ascii="Times New Roman" w:eastAsia="SimSun" w:hAnsi="Times New Roman"/>
          <w:sz w:val="20"/>
          <w:szCs w:val="20"/>
          <w:lang w:val="en-GB" w:eastAsia="ja-JP"/>
        </w:rPr>
        <w:t>1110</w:t>
      </w:r>
      <w:r w:rsidR="00E14C11">
        <w:rPr>
          <w:rFonts w:ascii="Times New Roman" w:eastAsia="SimSun" w:hAnsi="Times New Roman"/>
          <w:sz w:val="20"/>
          <w:szCs w:val="20"/>
          <w:lang w:val="en-GB" w:eastAsia="ja-JP"/>
        </w:rPr>
        <w:t>”</w:t>
      </w:r>
      <w:r w:rsidR="00E14C11" w:rsidRPr="00E14C11">
        <w:rPr>
          <w:rFonts w:ascii="Times New Roman" w:eastAsia="SimSun" w:hAnsi="Times New Roman"/>
          <w:sz w:val="20"/>
          <w:szCs w:val="20"/>
          <w:lang w:val="en-GB" w:eastAsia="ja-JP"/>
        </w:rPr>
        <w:t>,</w:t>
      </w:r>
      <w:r w:rsidR="00E14C11">
        <w:rPr>
          <w:rFonts w:ascii="Times New Roman" w:eastAsia="SimSun" w:hAnsi="Times New Roman"/>
          <w:sz w:val="20"/>
          <w:szCs w:val="20"/>
          <w:lang w:val="en-GB" w:eastAsia="ja-JP"/>
        </w:rPr>
        <w:t xml:space="preserve"> </w:t>
      </w:r>
      <w:r w:rsidR="00E14C11" w:rsidRPr="00E14C11">
        <w:rPr>
          <w:rFonts w:ascii="Times New Roman" w:eastAsia="SimSun" w:hAnsi="Times New Roman"/>
          <w:sz w:val="20"/>
          <w:szCs w:val="20"/>
          <w:lang w:val="en-GB" w:eastAsia="ja-JP"/>
        </w:rPr>
        <w:t>s</w:t>
      </w:r>
      <w:r w:rsidR="00E14C11">
        <w:rPr>
          <w:rFonts w:ascii="Times New Roman" w:eastAsia="SimSun" w:hAnsi="Times New Roman"/>
          <w:sz w:val="20"/>
          <w:szCs w:val="20"/>
          <w:lang w:val="en-GB" w:eastAsia="ja-JP"/>
        </w:rPr>
        <w:t>ince</w:t>
      </w:r>
      <w:r w:rsidR="00E14C11" w:rsidRPr="00E14C11">
        <w:rPr>
          <w:rFonts w:ascii="Times New Roman" w:eastAsia="SimSun" w:hAnsi="Times New Roman"/>
          <w:sz w:val="20"/>
          <w:szCs w:val="20"/>
          <w:lang w:val="en-GB" w:eastAsia="ja-JP"/>
        </w:rPr>
        <w:t xml:space="preserve"> repetition</w:t>
      </w:r>
      <w:r w:rsidR="00E14C11">
        <w:rPr>
          <w:rFonts w:ascii="Times New Roman" w:eastAsia="SimSun" w:hAnsi="Times New Roman"/>
          <w:sz w:val="20"/>
          <w:szCs w:val="20"/>
          <w:lang w:val="en-GB" w:eastAsia="ja-JP"/>
        </w:rPr>
        <w:t>s</w:t>
      </w:r>
      <w:r w:rsidR="00E14C11" w:rsidRPr="00E14C11">
        <w:rPr>
          <w:rFonts w:ascii="Times New Roman" w:eastAsia="SimSun" w:hAnsi="Times New Roman"/>
          <w:sz w:val="20"/>
          <w:szCs w:val="20"/>
          <w:lang w:val="en-GB" w:eastAsia="ja-JP"/>
        </w:rPr>
        <w:t xml:space="preserve"> </w:t>
      </w:r>
      <w:r w:rsidR="00E14C11">
        <w:rPr>
          <w:rFonts w:ascii="Times New Roman" w:eastAsia="SimSun" w:hAnsi="Times New Roman"/>
          <w:sz w:val="20"/>
          <w:szCs w:val="20"/>
          <w:lang w:val="en-GB" w:eastAsia="ja-JP"/>
        </w:rPr>
        <w:t>are</w:t>
      </w:r>
      <w:r w:rsidR="00E14C11" w:rsidRPr="00E14C11">
        <w:rPr>
          <w:rFonts w:ascii="Times New Roman" w:eastAsia="SimSun" w:hAnsi="Times New Roman"/>
          <w:sz w:val="20"/>
          <w:szCs w:val="20"/>
          <w:lang w:val="en-GB" w:eastAsia="ja-JP"/>
        </w:rPr>
        <w:t xml:space="preserve"> not </w:t>
      </w:r>
      <w:r w:rsidR="00E14C11">
        <w:rPr>
          <w:rFonts w:ascii="Times New Roman" w:eastAsia="SimSun" w:hAnsi="Times New Roman"/>
          <w:sz w:val="20"/>
          <w:szCs w:val="20"/>
          <w:lang w:val="en-GB" w:eastAsia="ja-JP"/>
        </w:rPr>
        <w:t>us</w:t>
      </w:r>
      <w:r w:rsidR="00E14C11" w:rsidRPr="00E14C11">
        <w:rPr>
          <w:rFonts w:ascii="Times New Roman" w:eastAsia="SimSun" w:hAnsi="Times New Roman"/>
          <w:sz w:val="20"/>
          <w:szCs w:val="20"/>
          <w:lang w:val="en-GB" w:eastAsia="ja-JP"/>
        </w:rPr>
        <w:t xml:space="preserve">ed for 16QAM, </w:t>
      </w:r>
      <w:bookmarkStart w:id="5" w:name="_Hlk71058949"/>
      <w:r w:rsidR="00E14C11" w:rsidRPr="00E14C11">
        <w:rPr>
          <w:rFonts w:ascii="Times New Roman" w:eastAsia="SimSun" w:hAnsi="Times New Roman"/>
          <w:sz w:val="20"/>
          <w:szCs w:val="20"/>
          <w:lang w:val="en-GB" w:eastAsia="ja-JP"/>
        </w:rPr>
        <w:t>3</w:t>
      </w:r>
      <w:r w:rsidR="00940F57">
        <w:rPr>
          <w:rFonts w:ascii="Times New Roman" w:eastAsia="SimSun" w:hAnsi="Times New Roman"/>
          <w:sz w:val="20"/>
          <w:szCs w:val="20"/>
          <w:lang w:val="en-GB" w:eastAsia="ja-JP"/>
        </w:rPr>
        <w:t>-</w:t>
      </w:r>
      <w:r w:rsidR="00E14C11" w:rsidRPr="00E14C11">
        <w:rPr>
          <w:rFonts w:ascii="Times New Roman" w:eastAsia="SimSun" w:hAnsi="Times New Roman"/>
          <w:sz w:val="20"/>
          <w:szCs w:val="20"/>
          <w:lang w:val="en-GB" w:eastAsia="ja-JP"/>
        </w:rPr>
        <w:t xml:space="preserve">bits </w:t>
      </w:r>
      <w:r w:rsidR="00E14C11">
        <w:rPr>
          <w:rFonts w:ascii="Times New Roman" w:eastAsia="SimSun" w:hAnsi="Times New Roman"/>
          <w:sz w:val="20"/>
          <w:szCs w:val="20"/>
          <w:lang w:val="en-GB" w:eastAsia="ja-JP"/>
        </w:rPr>
        <w:t>of</w:t>
      </w:r>
      <w:r w:rsidR="00E14C11" w:rsidRPr="00E14C11">
        <w:rPr>
          <w:rFonts w:ascii="Times New Roman" w:eastAsia="SimSun" w:hAnsi="Times New Roman"/>
          <w:sz w:val="20"/>
          <w:szCs w:val="20"/>
          <w:lang w:val="en-GB" w:eastAsia="ja-JP"/>
        </w:rPr>
        <w:t xml:space="preserve"> this field can be used </w:t>
      </w:r>
      <w:r w:rsidR="00E14C11">
        <w:rPr>
          <w:rFonts w:ascii="Times New Roman" w:eastAsia="SimSun" w:hAnsi="Times New Roman"/>
          <w:sz w:val="20"/>
          <w:szCs w:val="20"/>
          <w:lang w:val="en-GB" w:eastAsia="ja-JP"/>
        </w:rPr>
        <w:t>to indicate the TBS indices for 16-QAM</w:t>
      </w:r>
      <w:r w:rsidR="000F7ED4">
        <w:rPr>
          <w:rFonts w:ascii="Times New Roman" w:eastAsia="SimSun" w:hAnsi="Times New Roman"/>
          <w:sz w:val="20"/>
          <w:szCs w:val="20"/>
          <w:lang w:val="en-GB" w:eastAsia="ja-JP"/>
        </w:rPr>
        <w:t xml:space="preserve"> in DL</w:t>
      </w:r>
      <w:r w:rsidR="00E14C11">
        <w:rPr>
          <w:rFonts w:ascii="Times New Roman" w:eastAsia="SimSun" w:hAnsi="Times New Roman"/>
          <w:sz w:val="20"/>
          <w:szCs w:val="20"/>
          <w:lang w:val="en-GB" w:eastAsia="ja-JP"/>
        </w:rPr>
        <w:t xml:space="preserve"> as follows:</w:t>
      </w:r>
    </w:p>
    <w:p w14:paraId="5F372D73" w14:textId="77777777" w:rsidR="00E14C11" w:rsidRPr="00E14C11" w:rsidRDefault="00E14C11" w:rsidP="00E14C11">
      <w:pPr>
        <w:pStyle w:val="ListParagraph"/>
        <w:rPr>
          <w:rFonts w:ascii="Times New Roman" w:eastAsia="SimSun" w:hAnsi="Times New Roman"/>
          <w:sz w:val="20"/>
          <w:szCs w:val="20"/>
          <w:lang w:val="en-GB" w:eastAsia="ja-JP"/>
        </w:rPr>
      </w:pPr>
    </w:p>
    <w:p w14:paraId="3EBFCD63" w14:textId="2495FAE4" w:rsidR="00E14C11" w:rsidRDefault="00E14C11" w:rsidP="00E14C11">
      <w:pPr>
        <w:pStyle w:val="ListParagraph"/>
        <w:numPr>
          <w:ilvl w:val="1"/>
          <w:numId w:val="40"/>
        </w:numPr>
        <w:jc w:val="both"/>
        <w:rPr>
          <w:rFonts w:ascii="Times New Roman" w:eastAsia="SimSun" w:hAnsi="Times New Roman"/>
          <w:sz w:val="20"/>
          <w:szCs w:val="20"/>
          <w:lang w:val="en-GB" w:eastAsia="ja-JP"/>
        </w:rPr>
      </w:pPr>
      <w:bookmarkStart w:id="6" w:name="_Hlk71120722"/>
      <w:r>
        <w:rPr>
          <w:rFonts w:ascii="Times New Roman" w:eastAsia="SimSun" w:hAnsi="Times New Roman"/>
          <w:sz w:val="20"/>
          <w:szCs w:val="20"/>
          <w:lang w:val="en-GB" w:eastAsia="ja-JP"/>
        </w:rPr>
        <w:t>I</w:t>
      </w:r>
      <w:r w:rsidRPr="00E14C11">
        <w:rPr>
          <w:rFonts w:ascii="Times New Roman" w:eastAsia="SimSun" w:hAnsi="Times New Roman"/>
          <w:sz w:val="20"/>
          <w:szCs w:val="20"/>
          <w:lang w:val="en-GB" w:eastAsia="ja-JP"/>
        </w:rPr>
        <w:t xml:space="preserve">f </w:t>
      </w:r>
      <w:r w:rsidR="00940F57">
        <w:rPr>
          <w:rFonts w:ascii="Times New Roman" w:eastAsia="SimSun" w:hAnsi="Times New Roman"/>
          <w:sz w:val="20"/>
          <w:szCs w:val="20"/>
          <w:lang w:val="en-GB" w:eastAsia="ja-JP"/>
        </w:rPr>
        <w:t xml:space="preserve">the information </w:t>
      </w:r>
      <w:r w:rsidRPr="00E14C11">
        <w:rPr>
          <w:rFonts w:ascii="Times New Roman" w:eastAsia="SimSun" w:hAnsi="Times New Roman"/>
          <w:sz w:val="20"/>
          <w:szCs w:val="20"/>
          <w:lang w:val="en-GB" w:eastAsia="ja-JP"/>
        </w:rPr>
        <w:t>“</w:t>
      </w:r>
      <w:r w:rsidR="00940F57" w:rsidRPr="00940F57">
        <w:rPr>
          <w:rFonts w:ascii="Times New Roman" w:eastAsia="SimSun" w:hAnsi="Times New Roman"/>
          <w:i/>
          <w:iCs/>
          <w:sz w:val="20"/>
          <w:szCs w:val="20"/>
          <w:lang w:val="en-GB" w:eastAsia="ja-JP"/>
        </w:rPr>
        <w:t>in MIB-NB mapped to NPBCH</w:t>
      </w:r>
      <w:r w:rsidR="00254D2D">
        <w:rPr>
          <w:rFonts w:ascii="Times New Roman" w:eastAsia="SimSun" w:hAnsi="Times New Roman"/>
          <w:i/>
          <w:iCs/>
          <w:sz w:val="20"/>
          <w:szCs w:val="20"/>
          <w:lang w:val="en-GB" w:eastAsia="ja-JP"/>
        </w:rPr>
        <w:t xml:space="preserve"> for anchor carriers</w:t>
      </w:r>
      <w:r w:rsidR="00B86630">
        <w:rPr>
          <w:rFonts w:ascii="Times New Roman" w:eastAsia="SimSun" w:hAnsi="Times New Roman"/>
          <w:i/>
          <w:iCs/>
          <w:sz w:val="20"/>
          <w:szCs w:val="20"/>
          <w:lang w:val="en-GB" w:eastAsia="ja-JP"/>
        </w:rPr>
        <w:t>”</w:t>
      </w:r>
      <w:r w:rsidR="00254D2D">
        <w:rPr>
          <w:rFonts w:ascii="Times New Roman" w:eastAsia="SimSun" w:hAnsi="Times New Roman"/>
          <w:i/>
          <w:iCs/>
          <w:sz w:val="20"/>
          <w:szCs w:val="20"/>
          <w:lang w:val="en-GB" w:eastAsia="ja-JP"/>
        </w:rPr>
        <w:t xml:space="preserve"> </w:t>
      </w:r>
      <w:r w:rsidR="00B86630">
        <w:rPr>
          <w:rFonts w:ascii="Times New Roman" w:eastAsia="SimSun" w:hAnsi="Times New Roman"/>
          <w:sz w:val="20"/>
          <w:szCs w:val="20"/>
          <w:lang w:val="en-GB" w:eastAsia="ja-JP"/>
        </w:rPr>
        <w:t>or</w:t>
      </w:r>
      <w:r w:rsidR="00254D2D">
        <w:rPr>
          <w:rFonts w:ascii="Times New Roman" w:eastAsia="SimSun" w:hAnsi="Times New Roman"/>
          <w:i/>
          <w:iCs/>
          <w:sz w:val="20"/>
          <w:szCs w:val="20"/>
          <w:lang w:val="en-GB" w:eastAsia="ja-JP"/>
        </w:rPr>
        <w:t xml:space="preserve"> </w:t>
      </w:r>
      <w:r w:rsidR="00B86630">
        <w:rPr>
          <w:rFonts w:ascii="Times New Roman" w:eastAsia="SimSun" w:hAnsi="Times New Roman"/>
          <w:i/>
          <w:iCs/>
          <w:sz w:val="20"/>
          <w:szCs w:val="20"/>
          <w:lang w:val="en-GB" w:eastAsia="ja-JP"/>
        </w:rPr>
        <w:t>“</w:t>
      </w:r>
      <w:r w:rsidR="00254D2D">
        <w:rPr>
          <w:rFonts w:ascii="Times New Roman" w:eastAsia="SimSun" w:hAnsi="Times New Roman"/>
          <w:i/>
          <w:iCs/>
          <w:sz w:val="20"/>
          <w:szCs w:val="20"/>
          <w:lang w:val="en-GB" w:eastAsia="ja-JP"/>
        </w:rPr>
        <w:t xml:space="preserve">in </w:t>
      </w:r>
      <w:r w:rsidR="00254D2D" w:rsidRPr="00254D2D">
        <w:rPr>
          <w:rFonts w:ascii="Times New Roman" w:eastAsia="SimSun" w:hAnsi="Times New Roman"/>
          <w:i/>
          <w:iCs/>
          <w:sz w:val="20"/>
          <w:szCs w:val="20"/>
          <w:lang w:val="en-GB" w:eastAsia="ja-JP"/>
        </w:rPr>
        <w:t>DL-CarrierConfigDedicated-NB</w:t>
      </w:r>
      <w:r w:rsidR="005420F1">
        <w:rPr>
          <w:rFonts w:ascii="Times New Roman" w:eastAsia="SimSun" w:hAnsi="Times New Roman"/>
          <w:i/>
          <w:iCs/>
          <w:sz w:val="20"/>
          <w:szCs w:val="20"/>
          <w:lang w:val="en-GB" w:eastAsia="ja-JP"/>
        </w:rPr>
        <w:t>/SIB22-NB</w:t>
      </w:r>
      <w:r w:rsidR="00254D2D">
        <w:rPr>
          <w:rFonts w:ascii="Times New Roman" w:eastAsia="SimSun" w:hAnsi="Times New Roman"/>
          <w:i/>
          <w:iCs/>
          <w:sz w:val="20"/>
          <w:szCs w:val="20"/>
          <w:lang w:val="en-GB" w:eastAsia="ja-JP"/>
        </w:rPr>
        <w:t xml:space="preserve"> for non-anchor carriers</w:t>
      </w:r>
      <w:r w:rsidRPr="00E14C11">
        <w:rPr>
          <w:rFonts w:ascii="Times New Roman" w:eastAsia="SimSun" w:hAnsi="Times New Roman"/>
          <w:sz w:val="20"/>
          <w:szCs w:val="20"/>
          <w:lang w:val="en-GB" w:eastAsia="ja-JP"/>
        </w:rPr>
        <w:t xml:space="preserve">” indicates </w:t>
      </w:r>
      <w:r w:rsidR="00D40917">
        <w:rPr>
          <w:rFonts w:ascii="Times New Roman" w:eastAsia="SimSun" w:hAnsi="Times New Roman"/>
          <w:sz w:val="20"/>
          <w:szCs w:val="20"/>
          <w:lang w:val="en-GB" w:eastAsia="ja-JP"/>
        </w:rPr>
        <w:t>“</w:t>
      </w:r>
      <w:r w:rsidR="00D40917" w:rsidRPr="00E14C11">
        <w:rPr>
          <w:rFonts w:ascii="Times New Roman" w:eastAsia="SimSun" w:hAnsi="Times New Roman"/>
          <w:i/>
          <w:iCs/>
          <w:sz w:val="20"/>
          <w:szCs w:val="20"/>
          <w:lang w:val="en-GB" w:eastAsia="ja-JP"/>
        </w:rPr>
        <w:t>stand-alone</w:t>
      </w:r>
      <w:r w:rsidR="000E2CC7">
        <w:rPr>
          <w:rFonts w:ascii="Times New Roman" w:eastAsia="SimSun" w:hAnsi="Times New Roman"/>
          <w:i/>
          <w:iCs/>
          <w:sz w:val="20"/>
          <w:szCs w:val="20"/>
          <w:lang w:val="en-GB" w:eastAsia="ja-JP"/>
        </w:rPr>
        <w:t xml:space="preserve"> or </w:t>
      </w:r>
      <w:r w:rsidR="00D40917" w:rsidRPr="00E14C11">
        <w:rPr>
          <w:rFonts w:ascii="Times New Roman" w:eastAsia="SimSun" w:hAnsi="Times New Roman"/>
          <w:i/>
          <w:iCs/>
          <w:sz w:val="20"/>
          <w:szCs w:val="20"/>
          <w:lang w:val="en-GB" w:eastAsia="ja-JP"/>
        </w:rPr>
        <w:t>guard-band deployment</w:t>
      </w:r>
      <w:r w:rsidR="00D40917">
        <w:rPr>
          <w:rFonts w:ascii="Times New Roman" w:eastAsia="SimSun" w:hAnsi="Times New Roman"/>
          <w:sz w:val="20"/>
          <w:szCs w:val="20"/>
          <w:lang w:val="en-GB" w:eastAsia="ja-JP"/>
        </w:rPr>
        <w:t xml:space="preserve">” </w:t>
      </w:r>
      <w:r w:rsidR="00940F57">
        <w:rPr>
          <w:rFonts w:ascii="Times New Roman" w:eastAsia="SimSun" w:hAnsi="Times New Roman"/>
          <w:sz w:val="20"/>
          <w:szCs w:val="20"/>
          <w:lang w:val="en-GB" w:eastAsia="ja-JP"/>
        </w:rPr>
        <w:t xml:space="preserve">then the 3-bits refer to I_TBS indices </w:t>
      </w:r>
      <w:r w:rsidR="00D40917">
        <w:rPr>
          <w:rFonts w:ascii="Times New Roman" w:eastAsia="SimSun" w:hAnsi="Times New Roman"/>
          <w:sz w:val="20"/>
          <w:szCs w:val="20"/>
          <w:lang w:val="en-GB" w:eastAsia="ja-JP"/>
        </w:rPr>
        <w:t xml:space="preserve">spanning </w:t>
      </w:r>
      <w:r w:rsidR="00D40917" w:rsidRPr="00D40917">
        <w:rPr>
          <w:rFonts w:ascii="Times New Roman" w:eastAsia="SimSun" w:hAnsi="Times New Roman"/>
          <w:sz w:val="20"/>
          <w:szCs w:val="20"/>
          <w:lang w:val="en-GB" w:eastAsia="ja-JP"/>
        </w:rPr>
        <w:t>from index 14 to 21</w:t>
      </w:r>
      <w:r w:rsidR="00D40917">
        <w:rPr>
          <w:rFonts w:ascii="Times New Roman" w:eastAsia="SimSun" w:hAnsi="Times New Roman"/>
          <w:sz w:val="20"/>
          <w:szCs w:val="20"/>
          <w:lang w:val="en-GB" w:eastAsia="ja-JP"/>
        </w:rPr>
        <w:t>.</w:t>
      </w:r>
    </w:p>
    <w:p w14:paraId="0FDAB150" w14:textId="77777777" w:rsidR="00E14C11" w:rsidRDefault="00E14C11" w:rsidP="00E14C11">
      <w:pPr>
        <w:pStyle w:val="ListParagraph"/>
        <w:ind w:left="1440"/>
        <w:jc w:val="both"/>
        <w:rPr>
          <w:rFonts w:ascii="Times New Roman" w:eastAsia="SimSun" w:hAnsi="Times New Roman"/>
          <w:sz w:val="20"/>
          <w:szCs w:val="20"/>
          <w:lang w:val="en-GB" w:eastAsia="ja-JP"/>
        </w:rPr>
      </w:pPr>
    </w:p>
    <w:bookmarkEnd w:id="5"/>
    <w:p w14:paraId="03556563" w14:textId="3654B150" w:rsidR="000E2CC7" w:rsidRDefault="000E2CC7" w:rsidP="000E2CC7">
      <w:pPr>
        <w:pStyle w:val="ListParagraph"/>
        <w:numPr>
          <w:ilvl w:val="1"/>
          <w:numId w:val="40"/>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I</w:t>
      </w:r>
      <w:r w:rsidRPr="00E14C11">
        <w:rPr>
          <w:rFonts w:ascii="Times New Roman" w:eastAsia="SimSun" w:hAnsi="Times New Roman"/>
          <w:sz w:val="20"/>
          <w:szCs w:val="20"/>
          <w:lang w:val="en-GB" w:eastAsia="ja-JP"/>
        </w:rPr>
        <w:t xml:space="preserve">f </w:t>
      </w:r>
      <w:r>
        <w:rPr>
          <w:rFonts w:ascii="Times New Roman" w:eastAsia="SimSun" w:hAnsi="Times New Roman"/>
          <w:sz w:val="20"/>
          <w:szCs w:val="20"/>
          <w:lang w:val="en-GB" w:eastAsia="ja-JP"/>
        </w:rPr>
        <w:t xml:space="preserve">the information </w:t>
      </w:r>
      <w:r w:rsidRPr="00E14C11">
        <w:rPr>
          <w:rFonts w:ascii="Times New Roman" w:eastAsia="SimSun" w:hAnsi="Times New Roman"/>
          <w:sz w:val="20"/>
          <w:szCs w:val="20"/>
          <w:lang w:val="en-GB" w:eastAsia="ja-JP"/>
        </w:rPr>
        <w:t>“</w:t>
      </w:r>
      <w:r w:rsidRPr="00940F57">
        <w:rPr>
          <w:rFonts w:ascii="Times New Roman" w:eastAsia="SimSun" w:hAnsi="Times New Roman"/>
          <w:i/>
          <w:iCs/>
          <w:sz w:val="20"/>
          <w:szCs w:val="20"/>
          <w:lang w:val="en-GB" w:eastAsia="ja-JP"/>
        </w:rPr>
        <w:t>in MIB-NB mapped to NPBCH</w:t>
      </w:r>
      <w:r w:rsidR="00254D2D">
        <w:rPr>
          <w:rFonts w:ascii="Times New Roman" w:eastAsia="SimSun" w:hAnsi="Times New Roman"/>
          <w:i/>
          <w:iCs/>
          <w:sz w:val="20"/>
          <w:szCs w:val="20"/>
          <w:lang w:val="en-GB" w:eastAsia="ja-JP"/>
        </w:rPr>
        <w:t xml:space="preserve"> for anchor carriers</w:t>
      </w:r>
      <w:r w:rsidR="00B86630">
        <w:rPr>
          <w:rFonts w:ascii="Times New Roman" w:eastAsia="SimSun" w:hAnsi="Times New Roman"/>
          <w:i/>
          <w:iCs/>
          <w:sz w:val="20"/>
          <w:szCs w:val="20"/>
          <w:lang w:val="en-GB" w:eastAsia="ja-JP"/>
        </w:rPr>
        <w:t>”</w:t>
      </w:r>
      <w:r w:rsidR="00254D2D">
        <w:rPr>
          <w:rFonts w:ascii="Times New Roman" w:eastAsia="SimSun" w:hAnsi="Times New Roman"/>
          <w:i/>
          <w:iCs/>
          <w:sz w:val="20"/>
          <w:szCs w:val="20"/>
          <w:lang w:val="en-GB" w:eastAsia="ja-JP"/>
        </w:rPr>
        <w:t xml:space="preserve"> </w:t>
      </w:r>
      <w:r w:rsidR="00B86630">
        <w:rPr>
          <w:rFonts w:ascii="Times New Roman" w:eastAsia="SimSun" w:hAnsi="Times New Roman"/>
          <w:sz w:val="20"/>
          <w:szCs w:val="20"/>
          <w:lang w:val="en-GB" w:eastAsia="ja-JP"/>
        </w:rPr>
        <w:t>or</w:t>
      </w:r>
      <w:r w:rsidR="00254D2D">
        <w:rPr>
          <w:rFonts w:ascii="Times New Roman" w:eastAsia="SimSun" w:hAnsi="Times New Roman"/>
          <w:i/>
          <w:iCs/>
          <w:sz w:val="20"/>
          <w:szCs w:val="20"/>
          <w:lang w:val="en-GB" w:eastAsia="ja-JP"/>
        </w:rPr>
        <w:t xml:space="preserve"> </w:t>
      </w:r>
      <w:r w:rsidR="00B86630">
        <w:rPr>
          <w:rFonts w:ascii="Times New Roman" w:eastAsia="SimSun" w:hAnsi="Times New Roman"/>
          <w:i/>
          <w:iCs/>
          <w:sz w:val="20"/>
          <w:szCs w:val="20"/>
          <w:lang w:val="en-GB" w:eastAsia="ja-JP"/>
        </w:rPr>
        <w:t>“</w:t>
      </w:r>
      <w:r w:rsidR="00254D2D">
        <w:rPr>
          <w:rFonts w:ascii="Times New Roman" w:eastAsia="SimSun" w:hAnsi="Times New Roman"/>
          <w:i/>
          <w:iCs/>
          <w:sz w:val="20"/>
          <w:szCs w:val="20"/>
          <w:lang w:val="en-GB" w:eastAsia="ja-JP"/>
        </w:rPr>
        <w:t xml:space="preserve">in </w:t>
      </w:r>
      <w:r w:rsidR="00254D2D" w:rsidRPr="00254D2D">
        <w:rPr>
          <w:rFonts w:ascii="Times New Roman" w:eastAsia="SimSun" w:hAnsi="Times New Roman"/>
          <w:i/>
          <w:iCs/>
          <w:sz w:val="20"/>
          <w:szCs w:val="20"/>
          <w:lang w:val="en-GB" w:eastAsia="ja-JP"/>
        </w:rPr>
        <w:t>DL-CarrierConfigDedicated-NB</w:t>
      </w:r>
      <w:r w:rsidR="005420F1">
        <w:rPr>
          <w:rFonts w:ascii="Times New Roman" w:eastAsia="SimSun" w:hAnsi="Times New Roman"/>
          <w:i/>
          <w:iCs/>
          <w:sz w:val="20"/>
          <w:szCs w:val="20"/>
          <w:lang w:val="en-GB" w:eastAsia="ja-JP"/>
        </w:rPr>
        <w:t>/SIB22-NB</w:t>
      </w:r>
      <w:r w:rsidR="00254D2D">
        <w:rPr>
          <w:rFonts w:ascii="Times New Roman" w:eastAsia="SimSun" w:hAnsi="Times New Roman"/>
          <w:i/>
          <w:iCs/>
          <w:sz w:val="20"/>
          <w:szCs w:val="20"/>
          <w:lang w:val="en-GB" w:eastAsia="ja-JP"/>
        </w:rPr>
        <w:t xml:space="preserve"> for non-anchor carriers</w:t>
      </w:r>
      <w:r w:rsidRPr="00E14C11">
        <w:rPr>
          <w:rFonts w:ascii="Times New Roman" w:eastAsia="SimSun" w:hAnsi="Times New Roman"/>
          <w:sz w:val="20"/>
          <w:szCs w:val="20"/>
          <w:lang w:val="en-GB" w:eastAsia="ja-JP"/>
        </w:rPr>
        <w:t xml:space="preserve">” indicates </w:t>
      </w:r>
      <w:r>
        <w:rPr>
          <w:rFonts w:ascii="Times New Roman" w:eastAsia="SimSun" w:hAnsi="Times New Roman"/>
          <w:sz w:val="20"/>
          <w:szCs w:val="20"/>
          <w:lang w:val="en-GB" w:eastAsia="ja-JP"/>
        </w:rPr>
        <w:t>“</w:t>
      </w:r>
      <w:r>
        <w:rPr>
          <w:rFonts w:ascii="Times New Roman" w:eastAsia="SimSun" w:hAnsi="Times New Roman"/>
          <w:i/>
          <w:iCs/>
          <w:sz w:val="20"/>
          <w:szCs w:val="20"/>
          <w:lang w:val="en-GB" w:eastAsia="ja-JP"/>
        </w:rPr>
        <w:t>in</w:t>
      </w:r>
      <w:r w:rsidRPr="00E14C11">
        <w:rPr>
          <w:rFonts w:ascii="Times New Roman" w:eastAsia="SimSun" w:hAnsi="Times New Roman"/>
          <w:i/>
          <w:iCs/>
          <w:sz w:val="20"/>
          <w:szCs w:val="20"/>
          <w:lang w:val="en-GB" w:eastAsia="ja-JP"/>
        </w:rPr>
        <w:t>-band deployment</w:t>
      </w:r>
      <w:r>
        <w:rPr>
          <w:rFonts w:ascii="Times New Roman" w:eastAsia="SimSun" w:hAnsi="Times New Roman"/>
          <w:sz w:val="20"/>
          <w:szCs w:val="20"/>
          <w:lang w:val="en-GB" w:eastAsia="ja-JP"/>
        </w:rPr>
        <w:t xml:space="preserve">” then the 3-bits refer to I_TBS indices spanning </w:t>
      </w:r>
      <w:r w:rsidRPr="00D40917">
        <w:rPr>
          <w:rFonts w:ascii="Times New Roman" w:eastAsia="SimSun" w:hAnsi="Times New Roman"/>
          <w:sz w:val="20"/>
          <w:szCs w:val="20"/>
          <w:lang w:val="en-GB" w:eastAsia="ja-JP"/>
        </w:rPr>
        <w:t>from index 1</w:t>
      </w:r>
      <w:r>
        <w:rPr>
          <w:rFonts w:ascii="Times New Roman" w:eastAsia="SimSun" w:hAnsi="Times New Roman"/>
          <w:sz w:val="20"/>
          <w:szCs w:val="20"/>
          <w:lang w:val="en-GB" w:eastAsia="ja-JP"/>
        </w:rPr>
        <w:t>1</w:t>
      </w:r>
      <w:r w:rsidRPr="00D40917">
        <w:rPr>
          <w:rFonts w:ascii="Times New Roman" w:eastAsia="SimSun" w:hAnsi="Times New Roman"/>
          <w:sz w:val="20"/>
          <w:szCs w:val="20"/>
          <w:lang w:val="en-GB" w:eastAsia="ja-JP"/>
        </w:rPr>
        <w:t xml:space="preserve"> to 1</w:t>
      </w:r>
      <w:r>
        <w:rPr>
          <w:rFonts w:ascii="Times New Roman" w:eastAsia="SimSun" w:hAnsi="Times New Roman"/>
          <w:sz w:val="20"/>
          <w:szCs w:val="20"/>
          <w:lang w:val="en-GB" w:eastAsia="ja-JP"/>
        </w:rPr>
        <w:t>7.</w:t>
      </w:r>
    </w:p>
    <w:bookmarkEnd w:id="6"/>
    <w:p w14:paraId="1122BD29" w14:textId="77777777" w:rsidR="0026703D" w:rsidRPr="0026703D" w:rsidRDefault="0026703D" w:rsidP="0026703D">
      <w:pPr>
        <w:jc w:val="both"/>
      </w:pPr>
    </w:p>
    <w:p w14:paraId="393A3401" w14:textId="77777777" w:rsidR="0026703D" w:rsidRDefault="0026703D" w:rsidP="0026703D">
      <w:pPr>
        <w:pStyle w:val="Proposal"/>
      </w:pPr>
      <w:bookmarkStart w:id="7" w:name="_Toc71635387"/>
      <w:r>
        <w:t>For the support of 16-QAM in downlink, the DCI design is based on:</w:t>
      </w:r>
      <w:bookmarkEnd w:id="7"/>
    </w:p>
    <w:p w14:paraId="08E9DCF0" w14:textId="77777777" w:rsidR="0026703D" w:rsidRDefault="0026703D" w:rsidP="0026703D">
      <w:pPr>
        <w:pStyle w:val="Proposal"/>
        <w:numPr>
          <w:ilvl w:val="0"/>
          <w:numId w:val="0"/>
        </w:numPr>
        <w:ind w:left="1701"/>
      </w:pPr>
      <w:bookmarkStart w:id="8" w:name="_Toc71635388"/>
      <w:r>
        <w:t>Option 3: MCS field is 4 bits to indicate modulation and TBS</w:t>
      </w:r>
      <w:bookmarkEnd w:id="8"/>
    </w:p>
    <w:p w14:paraId="0ECD9D1C" w14:textId="6E0CAB5C" w:rsidR="0026703D" w:rsidRDefault="0026703D" w:rsidP="0026703D">
      <w:pPr>
        <w:pStyle w:val="Proposal"/>
        <w:numPr>
          <w:ilvl w:val="0"/>
          <w:numId w:val="0"/>
        </w:numPr>
        <w:ind w:left="2268"/>
      </w:pPr>
      <w:bookmarkStart w:id="9" w:name="_Toc71635389"/>
      <w:r>
        <w:lastRenderedPageBreak/>
        <w:t>o</w:t>
      </w:r>
      <w:r>
        <w:tab/>
        <w:t xml:space="preserve">A reserved state of MCS field indicates </w:t>
      </w:r>
      <w:r w:rsidR="002F58B4">
        <w:t xml:space="preserve">the </w:t>
      </w:r>
      <w:r>
        <w:t>use of 16QAM,</w:t>
      </w:r>
      <w:bookmarkEnd w:id="9"/>
      <w:r>
        <w:t xml:space="preserve"> </w:t>
      </w:r>
    </w:p>
    <w:p w14:paraId="0110FE50" w14:textId="7716DECE" w:rsidR="0026703D" w:rsidRDefault="0026703D" w:rsidP="0026703D">
      <w:pPr>
        <w:pStyle w:val="Proposal"/>
        <w:numPr>
          <w:ilvl w:val="0"/>
          <w:numId w:val="0"/>
        </w:numPr>
        <w:ind w:left="2268"/>
      </w:pPr>
      <w:bookmarkStart w:id="10" w:name="_Toc71635390"/>
      <w:r>
        <w:t>o</w:t>
      </w:r>
      <w:r>
        <w:tab/>
        <w:t>Repetition field indicates 16QAM MCS if 16QAM is indicated to be used.</w:t>
      </w:r>
      <w:bookmarkEnd w:id="10"/>
    </w:p>
    <w:p w14:paraId="436E84BD" w14:textId="77777777" w:rsidR="002F58B4" w:rsidRDefault="002F58B4" w:rsidP="0026703D">
      <w:pPr>
        <w:pStyle w:val="Proposal"/>
        <w:numPr>
          <w:ilvl w:val="0"/>
          <w:numId w:val="0"/>
        </w:numPr>
        <w:ind w:left="2268"/>
      </w:pPr>
    </w:p>
    <w:p w14:paraId="03F8ECF4" w14:textId="77777777" w:rsidR="0026703D" w:rsidRDefault="0026703D" w:rsidP="0026703D">
      <w:pPr>
        <w:pStyle w:val="Proposal"/>
      </w:pPr>
      <w:bookmarkStart w:id="11" w:name="_Toc71635391"/>
      <w:r>
        <w:t>In DCI format N1:</w:t>
      </w:r>
      <w:bookmarkEnd w:id="11"/>
    </w:p>
    <w:p w14:paraId="7FA6EE5B" w14:textId="0FABD889" w:rsidR="0026703D" w:rsidRDefault="0026703D" w:rsidP="0026703D">
      <w:pPr>
        <w:pStyle w:val="Proposal"/>
        <w:numPr>
          <w:ilvl w:val="0"/>
          <w:numId w:val="43"/>
        </w:numPr>
      </w:pPr>
      <w:bookmarkStart w:id="12" w:name="_Toc71635392"/>
      <w:r>
        <w:t>In the “</w:t>
      </w:r>
      <w:r w:rsidRPr="000F7ED4">
        <w:rPr>
          <w:i/>
          <w:iCs/>
        </w:rPr>
        <w:t>Modulation and coding scheme</w:t>
      </w:r>
      <w:r>
        <w:t xml:space="preserve">” field, </w:t>
      </w:r>
      <w:r w:rsidR="00FB5E3F">
        <w:t>one of the two available</w:t>
      </w:r>
      <w:r>
        <w:t xml:space="preserve"> reserved states </w:t>
      </w:r>
      <w:r w:rsidR="00FB5E3F">
        <w:t xml:space="preserve">(i.e., </w:t>
      </w:r>
      <w:r>
        <w:t xml:space="preserve">“1110” </w:t>
      </w:r>
      <w:r w:rsidR="00FB5E3F">
        <w:t>or</w:t>
      </w:r>
      <w:r>
        <w:t xml:space="preserve"> “1111”</w:t>
      </w:r>
      <w:r w:rsidR="00FB5E3F">
        <w:t>)</w:t>
      </w:r>
      <w:r>
        <w:t xml:space="preserve"> </w:t>
      </w:r>
      <w:r w:rsidR="00FB5E3F">
        <w:t>is</w:t>
      </w:r>
      <w:r>
        <w:t xml:space="preserve"> used to </w:t>
      </w:r>
      <w:r w:rsidRPr="000F7ED4">
        <w:t xml:space="preserve">indicate </w:t>
      </w:r>
      <w:r w:rsidR="00FB5E3F">
        <w:t>the use of</w:t>
      </w:r>
      <w:r w:rsidRPr="000F7ED4">
        <w:t xml:space="preserve"> 16-QAM </w:t>
      </w:r>
      <w:r w:rsidR="00FB5E3F">
        <w:t>in DL</w:t>
      </w:r>
      <w:r>
        <w:t>.</w:t>
      </w:r>
      <w:bookmarkEnd w:id="12"/>
    </w:p>
    <w:p w14:paraId="42131AB8" w14:textId="6B08CB3A" w:rsidR="0026703D" w:rsidRDefault="0026703D" w:rsidP="0026703D">
      <w:pPr>
        <w:pStyle w:val="Proposal"/>
        <w:numPr>
          <w:ilvl w:val="0"/>
          <w:numId w:val="43"/>
        </w:numPr>
      </w:pPr>
      <w:bookmarkStart w:id="13" w:name="_Toc71635393"/>
      <w:r>
        <w:t>I</w:t>
      </w:r>
      <w:r w:rsidR="002F58B4">
        <w:t>f the use of 16-QAM in DL has been indicated, in</w:t>
      </w:r>
      <w:r>
        <w:t xml:space="preserve"> the “</w:t>
      </w:r>
      <w:r w:rsidRPr="000F7ED4">
        <w:rPr>
          <w:i/>
          <w:iCs/>
        </w:rPr>
        <w:t>Repetition number</w:t>
      </w:r>
      <w:r>
        <w:t xml:space="preserve">” field, 3 bits are used to indicate the </w:t>
      </w:r>
      <w:r w:rsidR="00B86630">
        <w:t>I</w:t>
      </w:r>
      <w:r w:rsidRPr="00B86630">
        <w:rPr>
          <w:vertAlign w:val="subscript"/>
        </w:rPr>
        <w:t>TBS</w:t>
      </w:r>
      <w:r>
        <w:t xml:space="preserve"> indices for 16-QAM in DL as follows:</w:t>
      </w:r>
      <w:bookmarkEnd w:id="13"/>
    </w:p>
    <w:p w14:paraId="104BB866" w14:textId="14DE2423" w:rsidR="00FB5E3F" w:rsidRDefault="00FB5E3F" w:rsidP="00BE16E1">
      <w:pPr>
        <w:pStyle w:val="Proposal"/>
        <w:numPr>
          <w:ilvl w:val="0"/>
          <w:numId w:val="44"/>
        </w:numPr>
      </w:pPr>
      <w:bookmarkStart w:id="14" w:name="_Toc71635394"/>
      <w:r>
        <w:t>If the information “</w:t>
      </w:r>
      <w:r w:rsidRPr="00A92FE0">
        <w:rPr>
          <w:i/>
          <w:iCs/>
        </w:rPr>
        <w:t>in MIB-NB mapped to NPBCH</w:t>
      </w:r>
      <w:r w:rsidR="00254D2D" w:rsidRPr="00254D2D">
        <w:t xml:space="preserve"> </w:t>
      </w:r>
      <w:r w:rsidR="00254D2D" w:rsidRPr="00254D2D">
        <w:rPr>
          <w:i/>
          <w:iCs/>
        </w:rPr>
        <w:t>for anchor carriers</w:t>
      </w:r>
      <w:r w:rsidR="00B86630">
        <w:rPr>
          <w:i/>
          <w:iCs/>
        </w:rPr>
        <w:t>”</w:t>
      </w:r>
      <w:r w:rsidR="00254D2D" w:rsidRPr="00254D2D">
        <w:rPr>
          <w:i/>
          <w:iCs/>
        </w:rPr>
        <w:t xml:space="preserve"> </w:t>
      </w:r>
      <w:r w:rsidR="00B86630">
        <w:t>or</w:t>
      </w:r>
      <w:r w:rsidR="00254D2D" w:rsidRPr="00254D2D">
        <w:rPr>
          <w:i/>
          <w:iCs/>
        </w:rPr>
        <w:t xml:space="preserve"> </w:t>
      </w:r>
      <w:r w:rsidR="00B86630">
        <w:rPr>
          <w:i/>
          <w:iCs/>
        </w:rPr>
        <w:t>“</w:t>
      </w:r>
      <w:r w:rsidR="00254D2D" w:rsidRPr="00254D2D">
        <w:rPr>
          <w:i/>
          <w:iCs/>
        </w:rPr>
        <w:t>in DL-CarrierConfigDedicated-NB</w:t>
      </w:r>
      <w:r w:rsidR="005420F1">
        <w:rPr>
          <w:i/>
          <w:iCs/>
        </w:rPr>
        <w:t>/SIB22-NB</w:t>
      </w:r>
      <w:r w:rsidR="00254D2D" w:rsidRPr="00254D2D">
        <w:rPr>
          <w:i/>
          <w:iCs/>
        </w:rPr>
        <w:t xml:space="preserve"> for non-anchor carriers</w:t>
      </w:r>
      <w:r>
        <w:t>” indicates “</w:t>
      </w:r>
      <w:r w:rsidRPr="00A92FE0">
        <w:rPr>
          <w:i/>
          <w:iCs/>
        </w:rPr>
        <w:t>stand-alone or guard-band deployment</w:t>
      </w:r>
      <w:r>
        <w:t>” then the 3-bits refer to I_TBS indices spanning from index 14 to 21.</w:t>
      </w:r>
      <w:bookmarkEnd w:id="14"/>
    </w:p>
    <w:p w14:paraId="2A2938C8" w14:textId="7C5AFBDD" w:rsidR="00FB5E3F" w:rsidRDefault="00FB5E3F" w:rsidP="00BE16E1">
      <w:pPr>
        <w:pStyle w:val="Proposal"/>
        <w:numPr>
          <w:ilvl w:val="0"/>
          <w:numId w:val="44"/>
        </w:numPr>
      </w:pPr>
      <w:bookmarkStart w:id="15" w:name="_Toc71635395"/>
      <w:r>
        <w:t>If the information “</w:t>
      </w:r>
      <w:r w:rsidRPr="00A92FE0">
        <w:rPr>
          <w:i/>
          <w:iCs/>
        </w:rPr>
        <w:t>in MIB-NB mapped to NPBCH</w:t>
      </w:r>
      <w:r w:rsidR="00254D2D">
        <w:rPr>
          <w:i/>
          <w:iCs/>
        </w:rPr>
        <w:t xml:space="preserve"> </w:t>
      </w:r>
      <w:r w:rsidR="00254D2D" w:rsidRPr="00254D2D">
        <w:rPr>
          <w:i/>
          <w:iCs/>
        </w:rPr>
        <w:t>for anchor carriers</w:t>
      </w:r>
      <w:r w:rsidR="00B86630">
        <w:rPr>
          <w:i/>
          <w:iCs/>
        </w:rPr>
        <w:t>”</w:t>
      </w:r>
      <w:r w:rsidR="00254D2D" w:rsidRPr="00254D2D">
        <w:rPr>
          <w:i/>
          <w:iCs/>
        </w:rPr>
        <w:t xml:space="preserve"> </w:t>
      </w:r>
      <w:r w:rsidR="00B86630">
        <w:t>or</w:t>
      </w:r>
      <w:r w:rsidR="00254D2D" w:rsidRPr="00254D2D">
        <w:rPr>
          <w:i/>
          <w:iCs/>
        </w:rPr>
        <w:t xml:space="preserve"> </w:t>
      </w:r>
      <w:r w:rsidR="00B86630">
        <w:rPr>
          <w:i/>
          <w:iCs/>
        </w:rPr>
        <w:t>“</w:t>
      </w:r>
      <w:r w:rsidR="00254D2D" w:rsidRPr="00254D2D">
        <w:rPr>
          <w:i/>
          <w:iCs/>
        </w:rPr>
        <w:t>in DL-CarrierConfigDedicated-NB</w:t>
      </w:r>
      <w:r w:rsidR="005420F1">
        <w:rPr>
          <w:i/>
          <w:iCs/>
        </w:rPr>
        <w:t>/SIB22-NB</w:t>
      </w:r>
      <w:r w:rsidR="00254D2D" w:rsidRPr="00254D2D">
        <w:rPr>
          <w:i/>
          <w:iCs/>
        </w:rPr>
        <w:t xml:space="preserve"> for non-anchor carriers</w:t>
      </w:r>
      <w:r>
        <w:t>” indicates “</w:t>
      </w:r>
      <w:r w:rsidRPr="00A92FE0">
        <w:rPr>
          <w:i/>
          <w:iCs/>
        </w:rPr>
        <w:t>in-band deployment</w:t>
      </w:r>
      <w:r>
        <w:t>” then the 3-bits refer to I_TBS indices spanning from index 11 to 17.</w:t>
      </w:r>
      <w:bookmarkEnd w:id="15"/>
    </w:p>
    <w:p w14:paraId="1A346A4D" w14:textId="4302A5C7" w:rsidR="0026703D" w:rsidRDefault="0026703D" w:rsidP="0026703D">
      <w:pPr>
        <w:jc w:val="both"/>
      </w:pPr>
      <w:r>
        <w:t>In RAN1# 104-bis-e [2], the following Working Assumption (WA) was agreed:</w:t>
      </w:r>
    </w:p>
    <w:tbl>
      <w:tblPr>
        <w:tblStyle w:val="TableGrid"/>
        <w:tblW w:w="0" w:type="auto"/>
        <w:tblLook w:val="04A0" w:firstRow="1" w:lastRow="0" w:firstColumn="1" w:lastColumn="0" w:noHBand="0" w:noVBand="1"/>
      </w:tblPr>
      <w:tblGrid>
        <w:gridCol w:w="9629"/>
      </w:tblGrid>
      <w:tr w:rsidR="0026703D" w14:paraId="01E1297E" w14:textId="77777777" w:rsidTr="0026703D">
        <w:tc>
          <w:tcPr>
            <w:tcW w:w="9629" w:type="dxa"/>
          </w:tcPr>
          <w:p w14:paraId="37F9D3E3" w14:textId="77777777" w:rsidR="0026703D" w:rsidRPr="0026703D" w:rsidRDefault="0026703D" w:rsidP="0026703D">
            <w:pPr>
              <w:overflowPunct/>
              <w:autoSpaceDE/>
              <w:autoSpaceDN/>
              <w:adjustRightInd/>
              <w:spacing w:after="0"/>
              <w:textAlignment w:val="auto"/>
              <w:rPr>
                <w:rFonts w:ascii="Times" w:eastAsia="Batang" w:hAnsi="Times"/>
                <w:b/>
                <w:bCs/>
                <w:sz w:val="18"/>
                <w:szCs w:val="20"/>
                <w:highlight w:val="darkYellow"/>
                <w:lang w:eastAsia="x-none"/>
              </w:rPr>
            </w:pPr>
            <w:r w:rsidRPr="0026703D">
              <w:rPr>
                <w:rFonts w:ascii="Times" w:eastAsia="Batang" w:hAnsi="Times"/>
                <w:b/>
                <w:bCs/>
                <w:sz w:val="18"/>
                <w:szCs w:val="20"/>
                <w:highlight w:val="darkYellow"/>
                <w:lang w:eastAsia="x-none"/>
              </w:rPr>
              <w:t>Working Assumption</w:t>
            </w:r>
          </w:p>
          <w:p w14:paraId="7F9E4E80" w14:textId="77777777" w:rsidR="0026703D" w:rsidRDefault="0026703D" w:rsidP="00684B75">
            <w:pPr>
              <w:overflowPunct/>
              <w:autoSpaceDE/>
              <w:autoSpaceDN/>
              <w:adjustRightInd/>
              <w:spacing w:after="0"/>
              <w:textAlignment w:val="auto"/>
              <w:rPr>
                <w:rFonts w:ascii="Times" w:eastAsia="Batang" w:hAnsi="Times"/>
                <w:sz w:val="18"/>
                <w:szCs w:val="20"/>
                <w:lang w:eastAsia="en-US"/>
              </w:rPr>
            </w:pPr>
            <w:r w:rsidRPr="0026703D">
              <w:rPr>
                <w:rFonts w:ascii="Times" w:eastAsia="Batang" w:hAnsi="Times"/>
                <w:sz w:val="18"/>
                <w:szCs w:val="20"/>
                <w:lang w:eastAsia="en-US"/>
              </w:rPr>
              <w:t>The DCI size is not increased to support 16-QAM in uplink and downlink.</w:t>
            </w:r>
          </w:p>
          <w:p w14:paraId="78020E07" w14:textId="1E4CB3E6" w:rsidR="00684B75" w:rsidRPr="00684B75" w:rsidRDefault="00684B75" w:rsidP="00684B75">
            <w:pPr>
              <w:overflowPunct/>
              <w:autoSpaceDE/>
              <w:autoSpaceDN/>
              <w:adjustRightInd/>
              <w:spacing w:after="0"/>
              <w:textAlignment w:val="auto"/>
              <w:rPr>
                <w:rFonts w:ascii="Times" w:eastAsia="Batang" w:hAnsi="Times"/>
                <w:szCs w:val="24"/>
                <w:lang w:eastAsia="x-none"/>
              </w:rPr>
            </w:pPr>
          </w:p>
        </w:tc>
      </w:tr>
    </w:tbl>
    <w:p w14:paraId="6FDF307B" w14:textId="4A3D4258" w:rsidR="0026703D" w:rsidRDefault="0026703D" w:rsidP="0026703D">
      <w:pPr>
        <w:jc w:val="both"/>
      </w:pPr>
    </w:p>
    <w:p w14:paraId="2B26FD4A" w14:textId="7FF0A5B1" w:rsidR="0026703D" w:rsidRDefault="0026703D" w:rsidP="0026703D">
      <w:pPr>
        <w:jc w:val="both"/>
      </w:pPr>
      <w:r>
        <w:t>In the view of the feasibility observed for Option 3, the WA can be confirmed.</w:t>
      </w:r>
    </w:p>
    <w:p w14:paraId="4E117E3F" w14:textId="0FA7CA0B" w:rsidR="0026703D" w:rsidRPr="0026703D" w:rsidRDefault="0026703D" w:rsidP="0026703D">
      <w:pPr>
        <w:pStyle w:val="Proposal"/>
      </w:pPr>
      <w:bookmarkStart w:id="16" w:name="_Toc71635396"/>
      <w:r>
        <w:t>Confirm the Working Assumption on “</w:t>
      </w:r>
      <w:r w:rsidRPr="0026703D">
        <w:rPr>
          <w:i/>
          <w:iCs/>
        </w:rPr>
        <w:t>The DCI size is not increased to support 16-QAM in uplink and downlink</w:t>
      </w:r>
      <w:r>
        <w:t>”.</w:t>
      </w:r>
      <w:bookmarkEnd w:id="16"/>
    </w:p>
    <w:p w14:paraId="6D340871" w14:textId="2F0EEF60" w:rsidR="00605675" w:rsidRDefault="00605675" w:rsidP="00605675">
      <w:pPr>
        <w:pStyle w:val="Heading2"/>
      </w:pPr>
      <w:r>
        <w:t>2.</w:t>
      </w:r>
      <w:r w:rsidR="001B300D">
        <w:t>2</w:t>
      </w:r>
      <w:r>
        <w:tab/>
        <w:t>Channel Quality Reporting</w:t>
      </w:r>
      <w:r w:rsidRPr="00BD0418">
        <w:t xml:space="preserve"> to support 16</w:t>
      </w:r>
      <w:r w:rsidR="00D73830">
        <w:t>-</w:t>
      </w:r>
      <w:r w:rsidRPr="00BD0418">
        <w:t>QAM in DL</w:t>
      </w:r>
    </w:p>
    <w:p w14:paraId="334F7ACF" w14:textId="48A336D8" w:rsidR="00207DAD" w:rsidRDefault="00207DAD" w:rsidP="00207DAD">
      <w:pPr>
        <w:pStyle w:val="Heading3"/>
        <w:rPr>
          <w:rFonts w:eastAsiaTheme="minorHAnsi"/>
          <w:lang w:val="en-US" w:eastAsia="en-US"/>
        </w:rPr>
      </w:pPr>
      <w:r>
        <w:rPr>
          <w:rFonts w:eastAsiaTheme="minorHAnsi"/>
          <w:lang w:val="en-US" w:eastAsia="en-US"/>
        </w:rPr>
        <w:t>2.</w:t>
      </w:r>
      <w:r w:rsidR="001B300D">
        <w:rPr>
          <w:rFonts w:eastAsiaTheme="minorHAnsi"/>
          <w:lang w:val="en-US" w:eastAsia="en-US"/>
        </w:rPr>
        <w:t>2</w:t>
      </w:r>
      <w:r>
        <w:rPr>
          <w:rFonts w:eastAsiaTheme="minorHAnsi"/>
          <w:lang w:val="en-US" w:eastAsia="en-US"/>
        </w:rPr>
        <w:t>.1</w:t>
      </w:r>
      <w:r>
        <w:rPr>
          <w:rFonts w:eastAsiaTheme="minorHAnsi"/>
          <w:lang w:val="en-US" w:eastAsia="en-US"/>
        </w:rPr>
        <w:tab/>
      </w:r>
      <w:r w:rsidR="00955231">
        <w:rPr>
          <w:rFonts w:eastAsiaTheme="minorHAnsi"/>
          <w:lang w:val="en-US" w:eastAsia="en-US"/>
        </w:rPr>
        <w:t>CQI reporting definition</w:t>
      </w:r>
    </w:p>
    <w:p w14:paraId="72159BA9" w14:textId="58B19CD1" w:rsidR="00976E2D" w:rsidRDefault="0026703D" w:rsidP="00605675">
      <w:pPr>
        <w:jc w:val="both"/>
      </w:pPr>
      <w:r>
        <w:t>In relation with the “CQI reporting definition”, in RAN1# 104-bis-e the following agreement was reached:</w:t>
      </w:r>
    </w:p>
    <w:tbl>
      <w:tblPr>
        <w:tblStyle w:val="TableGrid"/>
        <w:tblW w:w="0" w:type="auto"/>
        <w:tblLook w:val="04A0" w:firstRow="1" w:lastRow="0" w:firstColumn="1" w:lastColumn="0" w:noHBand="0" w:noVBand="1"/>
      </w:tblPr>
      <w:tblGrid>
        <w:gridCol w:w="9629"/>
      </w:tblGrid>
      <w:tr w:rsidR="0026703D" w14:paraId="6D8E3205" w14:textId="77777777" w:rsidTr="0026703D">
        <w:tc>
          <w:tcPr>
            <w:tcW w:w="9629" w:type="dxa"/>
          </w:tcPr>
          <w:p w14:paraId="44B88206" w14:textId="77777777" w:rsidR="0026703D" w:rsidRPr="0026703D" w:rsidRDefault="0026703D" w:rsidP="0026703D">
            <w:pPr>
              <w:overflowPunct/>
              <w:autoSpaceDE/>
              <w:autoSpaceDN/>
              <w:adjustRightInd/>
              <w:spacing w:after="0"/>
              <w:textAlignment w:val="auto"/>
              <w:rPr>
                <w:rFonts w:ascii="Times" w:eastAsia="Batang" w:hAnsi="Times"/>
                <w:b/>
                <w:bCs/>
                <w:sz w:val="18"/>
                <w:szCs w:val="20"/>
                <w:highlight w:val="green"/>
                <w:lang w:eastAsia="x-none"/>
              </w:rPr>
            </w:pPr>
            <w:r w:rsidRPr="0026703D">
              <w:rPr>
                <w:rFonts w:ascii="Times" w:eastAsia="Batang" w:hAnsi="Times"/>
                <w:b/>
                <w:bCs/>
                <w:sz w:val="18"/>
                <w:szCs w:val="20"/>
                <w:highlight w:val="green"/>
                <w:lang w:eastAsia="x-none"/>
              </w:rPr>
              <w:t>Agreement</w:t>
            </w:r>
          </w:p>
          <w:p w14:paraId="739B0CF3" w14:textId="77777777" w:rsidR="0026703D" w:rsidRDefault="0026703D" w:rsidP="0026703D">
            <w:pPr>
              <w:overflowPunct/>
              <w:autoSpaceDE/>
              <w:autoSpaceDN/>
              <w:adjustRightInd/>
              <w:spacing w:after="0"/>
              <w:textAlignment w:val="auto"/>
              <w:rPr>
                <w:rFonts w:ascii="Times" w:eastAsia="Batang" w:hAnsi="Times"/>
                <w:sz w:val="18"/>
                <w:szCs w:val="20"/>
                <w:lang w:eastAsia="x-none"/>
              </w:rPr>
            </w:pPr>
            <w:r w:rsidRPr="0026703D">
              <w:rPr>
                <w:rFonts w:ascii="Times" w:eastAsia="Batang" w:hAnsi="Times"/>
                <w:sz w:val="18"/>
                <w:szCs w:val="20"/>
                <w:lang w:eastAsia="x-none"/>
              </w:rPr>
              <w:t>If 16-QAM is configured for NPDSCH, the channel quality report for 16-QAM is based on NPDSCH transport block that achieves an error probability not exceeding 10% BLER.</w:t>
            </w:r>
          </w:p>
          <w:p w14:paraId="5BC69D52" w14:textId="779A4020" w:rsidR="00684B75" w:rsidRPr="0026703D" w:rsidRDefault="00684B75" w:rsidP="0026703D">
            <w:pPr>
              <w:overflowPunct/>
              <w:autoSpaceDE/>
              <w:autoSpaceDN/>
              <w:adjustRightInd/>
              <w:spacing w:after="0"/>
              <w:textAlignment w:val="auto"/>
              <w:rPr>
                <w:rFonts w:ascii="Times" w:eastAsia="Batang" w:hAnsi="Times"/>
                <w:sz w:val="20"/>
                <w:lang w:eastAsia="x-none"/>
              </w:rPr>
            </w:pPr>
          </w:p>
        </w:tc>
      </w:tr>
    </w:tbl>
    <w:p w14:paraId="30D9D931" w14:textId="1EB6B116" w:rsidR="0026703D" w:rsidRDefault="0026703D" w:rsidP="00605675">
      <w:pPr>
        <w:jc w:val="both"/>
      </w:pPr>
    </w:p>
    <w:p w14:paraId="61B46EB5" w14:textId="09BA4856" w:rsidR="0026703D" w:rsidRDefault="0026703D" w:rsidP="00605675">
      <w:pPr>
        <w:jc w:val="both"/>
      </w:pPr>
      <w:r>
        <w:t xml:space="preserve">In the subsection below we continue the discussion on the CQI mapping Table </w:t>
      </w:r>
      <w:r w:rsidR="00A1793A">
        <w:t xml:space="preserve">as </w:t>
      </w:r>
      <w:r w:rsidR="00DE3A92">
        <w:t xml:space="preserve">an essential </w:t>
      </w:r>
      <w:r w:rsidR="00A1793A">
        <w:t>enabler to</w:t>
      </w:r>
      <w:r>
        <w:t xml:space="preserve"> support the channel quality reporting for 16-QAM in DL.</w:t>
      </w:r>
    </w:p>
    <w:p w14:paraId="128F47AF" w14:textId="003B7900" w:rsidR="00207DAD" w:rsidRDefault="00207DAD" w:rsidP="00207DAD">
      <w:pPr>
        <w:pStyle w:val="Heading3"/>
      </w:pPr>
      <w:r>
        <w:t>2.</w:t>
      </w:r>
      <w:r w:rsidR="001B300D">
        <w:t>2</w:t>
      </w:r>
      <w:r>
        <w:t>.2</w:t>
      </w:r>
      <w:r>
        <w:tab/>
      </w:r>
      <w:r w:rsidR="00955231">
        <w:t>CQI mapping Table</w:t>
      </w:r>
    </w:p>
    <w:p w14:paraId="1A75634D" w14:textId="3920E819" w:rsidR="00207DAD" w:rsidRPr="00207DAD" w:rsidRDefault="00207DAD" w:rsidP="00207DAD">
      <w:pPr>
        <w:pStyle w:val="BodyText"/>
        <w:rPr>
          <w:rFonts w:ascii="Times New Roman" w:hAnsi="Times New Roman"/>
          <w:lang w:eastAsia="ja-JP"/>
        </w:rPr>
      </w:pPr>
      <w:r w:rsidRPr="00207DAD">
        <w:rPr>
          <w:rFonts w:ascii="Times New Roman" w:hAnsi="Times New Roman"/>
          <w:lang w:eastAsia="ja-JP"/>
        </w:rPr>
        <w:t>The CQI mapping table in TS 36.133 clause 9.1.22.15 [</w:t>
      </w:r>
      <w:r w:rsidR="00203B00">
        <w:rPr>
          <w:rFonts w:ascii="Times New Roman" w:hAnsi="Times New Roman"/>
          <w:lang w:eastAsia="ja-JP"/>
        </w:rPr>
        <w:t>4</w:t>
      </w:r>
      <w:r w:rsidRPr="00207DAD">
        <w:rPr>
          <w:rFonts w:ascii="Times New Roman" w:hAnsi="Times New Roman"/>
          <w:lang w:eastAsia="ja-JP"/>
        </w:rPr>
        <w:t>] is used as a baseline to introduce the channel quality reporting for 16-QAM in DL.</w:t>
      </w:r>
    </w:p>
    <w:p w14:paraId="4EEF13D1" w14:textId="7EEF1741" w:rsidR="00AE2CD3" w:rsidRDefault="00620532" w:rsidP="00AE2CD3">
      <w:pPr>
        <w:pStyle w:val="BodyText"/>
        <w:rPr>
          <w:rFonts w:ascii="Times New Roman" w:hAnsi="Times New Roman"/>
          <w:lang w:eastAsia="ja-JP"/>
        </w:rPr>
      </w:pPr>
      <w:r>
        <w:rPr>
          <w:rFonts w:ascii="Times New Roman" w:hAnsi="Times New Roman"/>
          <w:lang w:eastAsia="ja-JP"/>
        </w:rPr>
        <w:t>A</w:t>
      </w:r>
      <w:r w:rsidR="00207DAD" w:rsidRPr="00207DAD">
        <w:rPr>
          <w:rFonts w:ascii="Times New Roman" w:hAnsi="Times New Roman"/>
          <w:lang w:eastAsia="ja-JP"/>
        </w:rPr>
        <w:t xml:space="preserve"> high </w:t>
      </w:r>
      <w:r w:rsidR="00CD48E0">
        <w:rPr>
          <w:rFonts w:ascii="Times New Roman" w:hAnsi="Times New Roman"/>
          <w:lang w:eastAsia="ja-JP"/>
        </w:rPr>
        <w:t xml:space="preserve">order </w:t>
      </w:r>
      <w:r w:rsidR="00207DAD" w:rsidRPr="00207DAD">
        <w:rPr>
          <w:rFonts w:ascii="Times New Roman" w:hAnsi="Times New Roman"/>
          <w:lang w:eastAsia="ja-JP"/>
        </w:rPr>
        <w:t>modulation as 16-QAM requires good radio conditions,</w:t>
      </w:r>
      <w:r w:rsidR="00CD48E0">
        <w:rPr>
          <w:rFonts w:ascii="Times New Roman" w:hAnsi="Times New Roman"/>
          <w:lang w:eastAsia="ja-JP"/>
        </w:rPr>
        <w:t xml:space="preserve"> recently in RAN1# 104-e it was </w:t>
      </w:r>
      <w:r>
        <w:rPr>
          <w:rFonts w:ascii="Times New Roman" w:hAnsi="Times New Roman"/>
          <w:lang w:eastAsia="ja-JP"/>
        </w:rPr>
        <w:t xml:space="preserve">agreed to use only 1 repetition </w:t>
      </w:r>
      <w:r w:rsidR="009A658D">
        <w:rPr>
          <w:rFonts w:ascii="Times New Roman" w:hAnsi="Times New Roman"/>
          <w:lang w:eastAsia="ja-JP"/>
        </w:rPr>
        <w:t xml:space="preserve">(i.e., no repetition for NPDSCH) </w:t>
      </w:r>
      <w:r>
        <w:rPr>
          <w:rFonts w:ascii="Times New Roman" w:hAnsi="Times New Roman"/>
          <w:lang w:eastAsia="ja-JP"/>
        </w:rPr>
        <w:t>in DL [</w:t>
      </w:r>
      <w:r w:rsidR="00203B00">
        <w:rPr>
          <w:rFonts w:ascii="Times New Roman" w:hAnsi="Times New Roman"/>
          <w:lang w:eastAsia="ja-JP"/>
        </w:rPr>
        <w:t>3</w:t>
      </w:r>
      <w:r>
        <w:rPr>
          <w:rFonts w:ascii="Times New Roman" w:hAnsi="Times New Roman"/>
          <w:lang w:eastAsia="ja-JP"/>
        </w:rPr>
        <w:t xml:space="preserve">], </w:t>
      </w:r>
      <w:r w:rsidR="00CD48E0">
        <w:rPr>
          <w:rFonts w:ascii="Times New Roman" w:hAnsi="Times New Roman"/>
          <w:lang w:eastAsia="ja-JP"/>
        </w:rPr>
        <w:t xml:space="preserve">in line with it below </w:t>
      </w:r>
      <w:r w:rsidR="00AE2CD3">
        <w:rPr>
          <w:rFonts w:ascii="Times New Roman" w:hAnsi="Times New Roman"/>
          <w:lang w:eastAsia="ja-JP"/>
        </w:rPr>
        <w:t xml:space="preserve">we used </w:t>
      </w:r>
      <w:r w:rsidR="00207DAD" w:rsidRPr="00207DAD">
        <w:rPr>
          <w:rFonts w:ascii="Times New Roman" w:hAnsi="Times New Roman"/>
          <w:lang w:eastAsia="ja-JP"/>
        </w:rPr>
        <w:t xml:space="preserve">as </w:t>
      </w:r>
      <w:r w:rsidR="00AE2CD3">
        <w:rPr>
          <w:rFonts w:ascii="Times New Roman" w:hAnsi="Times New Roman"/>
          <w:lang w:eastAsia="ja-JP"/>
        </w:rPr>
        <w:t xml:space="preserve">a </w:t>
      </w:r>
      <w:r w:rsidR="009A50F9" w:rsidRPr="00207DAD">
        <w:rPr>
          <w:rFonts w:ascii="Times New Roman" w:hAnsi="Times New Roman"/>
          <w:lang w:eastAsia="ja-JP"/>
        </w:rPr>
        <w:t>design criterion</w:t>
      </w:r>
      <w:r w:rsidR="00207DAD" w:rsidRPr="00207DAD">
        <w:rPr>
          <w:rFonts w:ascii="Times New Roman" w:hAnsi="Times New Roman"/>
          <w:lang w:eastAsia="ja-JP"/>
        </w:rPr>
        <w:t xml:space="preserve"> the</w:t>
      </w:r>
      <w:r w:rsidR="00E933D9">
        <w:rPr>
          <w:rFonts w:ascii="Times New Roman" w:hAnsi="Times New Roman"/>
          <w:lang w:eastAsia="ja-JP"/>
        </w:rPr>
        <w:t xml:space="preserve"> case where</w:t>
      </w:r>
      <w:r w:rsidR="00207DAD" w:rsidRPr="00207DAD">
        <w:rPr>
          <w:rFonts w:ascii="Times New Roman" w:hAnsi="Times New Roman"/>
          <w:lang w:eastAsia="ja-JP"/>
        </w:rPr>
        <w:t xml:space="preserve"> “NPDCCH repetition level” is equal to 1.</w:t>
      </w:r>
      <w:r w:rsidR="00AE2CD3">
        <w:rPr>
          <w:rFonts w:ascii="Times New Roman" w:hAnsi="Times New Roman"/>
          <w:lang w:eastAsia="ja-JP"/>
        </w:rPr>
        <w:t xml:space="preserve"> </w:t>
      </w:r>
    </w:p>
    <w:p w14:paraId="63DC6E03" w14:textId="7A6AFFAD" w:rsidR="00207DAD" w:rsidRPr="00AE2CD3" w:rsidRDefault="00207DAD" w:rsidP="00AE2CD3">
      <w:pPr>
        <w:pStyle w:val="BodyText"/>
        <w:rPr>
          <w:rFonts w:ascii="Times New Roman" w:hAnsi="Times New Roman"/>
          <w:lang w:eastAsia="ja-JP"/>
        </w:rPr>
      </w:pPr>
      <w:r w:rsidRPr="00AE2CD3">
        <w:rPr>
          <w:rFonts w:ascii="Times New Roman" w:hAnsi="Times New Roman"/>
          <w:lang w:eastAsia="ja-JP"/>
        </w:rPr>
        <w:t>Moreover, the CQI mapping table in TS 36.133 clause 9.1.22.15 currently uses 13 out of 16 entries</w:t>
      </w:r>
      <w:r w:rsidR="004A69D7">
        <w:rPr>
          <w:rFonts w:ascii="Times New Roman" w:hAnsi="Times New Roman"/>
          <w:lang w:eastAsia="ja-JP"/>
        </w:rPr>
        <w:t xml:space="preserve"> [</w:t>
      </w:r>
      <w:r w:rsidR="00203B00">
        <w:rPr>
          <w:rFonts w:ascii="Times New Roman" w:hAnsi="Times New Roman"/>
          <w:lang w:eastAsia="ja-JP"/>
        </w:rPr>
        <w:t>4</w:t>
      </w:r>
      <w:r w:rsidR="004A69D7">
        <w:rPr>
          <w:rFonts w:ascii="Times New Roman" w:hAnsi="Times New Roman"/>
          <w:lang w:eastAsia="ja-JP"/>
        </w:rPr>
        <w:t>]</w:t>
      </w:r>
      <w:r w:rsidR="00AE2CD3">
        <w:rPr>
          <w:rFonts w:ascii="Times New Roman" w:hAnsi="Times New Roman"/>
          <w:lang w:eastAsia="ja-JP"/>
        </w:rPr>
        <w:t xml:space="preserve">, </w:t>
      </w:r>
      <w:r w:rsidR="00A11E2B">
        <w:rPr>
          <w:rFonts w:ascii="Times New Roman" w:hAnsi="Times New Roman"/>
          <w:lang w:eastAsia="ja-JP"/>
        </w:rPr>
        <w:t>being the three unused field</w:t>
      </w:r>
      <w:r w:rsidR="006017AC">
        <w:rPr>
          <w:rFonts w:ascii="Times New Roman" w:hAnsi="Times New Roman"/>
          <w:lang w:eastAsia="ja-JP"/>
        </w:rPr>
        <w:t>s</w:t>
      </w:r>
      <w:r w:rsidR="00AE2CD3">
        <w:rPr>
          <w:rFonts w:ascii="Times New Roman" w:hAnsi="Times New Roman"/>
          <w:lang w:eastAsia="ja-JP"/>
        </w:rPr>
        <w:t xml:space="preserve"> u</w:t>
      </w:r>
      <w:r w:rsidR="00A11E2B">
        <w:rPr>
          <w:rFonts w:ascii="Times New Roman" w:hAnsi="Times New Roman"/>
          <w:lang w:eastAsia="ja-JP"/>
        </w:rPr>
        <w:t>tilize</w:t>
      </w:r>
      <w:r w:rsidR="00AE2CD3">
        <w:rPr>
          <w:rFonts w:ascii="Times New Roman" w:hAnsi="Times New Roman"/>
          <w:lang w:eastAsia="ja-JP"/>
        </w:rPr>
        <w:t xml:space="preserve">d to incorporate </w:t>
      </w:r>
      <w:r w:rsidR="00A11E2B">
        <w:rPr>
          <w:rFonts w:ascii="Times New Roman" w:hAnsi="Times New Roman"/>
          <w:lang w:eastAsia="ja-JP"/>
        </w:rPr>
        <w:t xml:space="preserve">the reporting for </w:t>
      </w:r>
      <w:r w:rsidR="00AE2CD3">
        <w:rPr>
          <w:rFonts w:ascii="Times New Roman" w:hAnsi="Times New Roman"/>
          <w:lang w:eastAsia="ja-JP"/>
        </w:rPr>
        <w:t>16-QAM</w:t>
      </w:r>
      <w:r w:rsidR="00A11E2B">
        <w:rPr>
          <w:rFonts w:ascii="Times New Roman" w:hAnsi="Times New Roman"/>
          <w:lang w:eastAsia="ja-JP"/>
        </w:rPr>
        <w:t xml:space="preserve"> in DL</w:t>
      </w:r>
      <w:r w:rsidR="00AE2CD3">
        <w:rPr>
          <w:rFonts w:ascii="Times New Roman" w:hAnsi="Times New Roman"/>
          <w:lang w:eastAsia="ja-JP"/>
        </w:rPr>
        <w:t>:</w:t>
      </w:r>
    </w:p>
    <w:p w14:paraId="74467E16" w14:textId="4E9FE9BB" w:rsidR="00321BE0" w:rsidRPr="00161B74" w:rsidRDefault="00321BE0" w:rsidP="00321BE0">
      <w:pPr>
        <w:pStyle w:val="TH"/>
        <w:rPr>
          <w:rFonts w:ascii="Times New Roman" w:hAnsi="Times New Roman"/>
          <w:sz w:val="16"/>
          <w:szCs w:val="16"/>
          <w:lang w:val="en-US" w:eastAsia="en-GB"/>
        </w:rPr>
      </w:pPr>
      <w:r w:rsidRPr="00161B74">
        <w:rPr>
          <w:rFonts w:ascii="Times New Roman" w:hAnsi="Times New Roman"/>
          <w:sz w:val="16"/>
          <w:szCs w:val="16"/>
          <w:lang w:val="en-US"/>
        </w:rPr>
        <w:lastRenderedPageBreak/>
        <w:t>Table</w:t>
      </w:r>
      <w:r w:rsidR="00161B74" w:rsidRPr="00161B74">
        <w:rPr>
          <w:rFonts w:ascii="Times New Roman" w:hAnsi="Times New Roman"/>
          <w:sz w:val="16"/>
          <w:szCs w:val="16"/>
          <w:lang w:val="en-US"/>
        </w:rPr>
        <w:t xml:space="preserve"> 4a: Updated Table</w:t>
      </w:r>
      <w:r w:rsidRPr="00161B74">
        <w:rPr>
          <w:rFonts w:ascii="Times New Roman" w:hAnsi="Times New Roman"/>
          <w:sz w:val="16"/>
          <w:szCs w:val="16"/>
          <w:lang w:val="en-US"/>
        </w:rPr>
        <w:t xml:space="preserve"> 9.1.22.15-1: Downlink channel quality measurement report mapping of CQI-NPDCCH-NB when the DL channel quality reporting is supported</w:t>
      </w:r>
    </w:p>
    <w:tbl>
      <w:tblPr>
        <w:tblW w:w="9009" w:type="dxa"/>
        <w:jc w:val="center"/>
        <w:tblCellMar>
          <w:left w:w="0" w:type="dxa"/>
          <w:right w:w="0" w:type="dxa"/>
        </w:tblCellMar>
        <w:tblLook w:val="04A0" w:firstRow="1" w:lastRow="0" w:firstColumn="1" w:lastColumn="0" w:noHBand="0" w:noVBand="1"/>
      </w:tblPr>
      <w:tblGrid>
        <w:gridCol w:w="3231"/>
        <w:gridCol w:w="2889"/>
        <w:gridCol w:w="2889"/>
      </w:tblGrid>
      <w:tr w:rsidR="00620532" w14:paraId="3D895442" w14:textId="7DE14E9C" w:rsidTr="73E20EA6">
        <w:trPr>
          <w:trHeight w:val="985"/>
          <w:jc w:val="center"/>
        </w:trPr>
        <w:tc>
          <w:tcPr>
            <w:tcW w:w="3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600A07" w14:textId="77777777" w:rsidR="00620532" w:rsidRDefault="00620532" w:rsidP="008E0411">
            <w:pPr>
              <w:pStyle w:val="TAH"/>
              <w:rPr>
                <w:lang w:val="sv-SE" w:eastAsia="en-US"/>
              </w:rPr>
            </w:pPr>
            <w:r>
              <w:t>Reported value</w:t>
            </w:r>
          </w:p>
        </w:tc>
        <w:tc>
          <w:tcPr>
            <w:tcW w:w="28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6D8815" w14:textId="77777777" w:rsidR="00620532" w:rsidRDefault="00620532" w:rsidP="008E0411">
            <w:pPr>
              <w:pStyle w:val="TAH"/>
            </w:pPr>
            <w:r>
              <w:t>NPDCCH repetition level</w:t>
            </w:r>
          </w:p>
        </w:tc>
        <w:tc>
          <w:tcPr>
            <w:tcW w:w="2889" w:type="dxa"/>
            <w:tcBorders>
              <w:top w:val="single" w:sz="4" w:space="0" w:color="auto"/>
              <w:left w:val="single" w:sz="4" w:space="0" w:color="auto"/>
              <w:bottom w:val="single" w:sz="4" w:space="0" w:color="auto"/>
              <w:right w:val="single" w:sz="4" w:space="0" w:color="auto"/>
            </w:tcBorders>
          </w:tcPr>
          <w:p w14:paraId="4791C4BC" w14:textId="5CC9CBFD" w:rsidR="00620532" w:rsidRDefault="00620532" w:rsidP="008E0411">
            <w:pPr>
              <w:pStyle w:val="TAH"/>
            </w:pPr>
            <w:r w:rsidRPr="73E20EA6">
              <w:rPr>
                <w:highlight w:val="yellow"/>
                <w:lang w:val="en-US"/>
              </w:rPr>
              <w:t xml:space="preserve">16-QAM CQI index </w:t>
            </w:r>
            <w:r w:rsidRPr="73E20EA6">
              <w:rPr>
                <w:highlight w:val="yellow"/>
              </w:rPr>
              <w:t xml:space="preserve">with </w:t>
            </w:r>
            <w:r w:rsidR="00A139CB" w:rsidRPr="000B6EE7">
              <w:rPr>
                <w:highlight w:val="yellow"/>
                <w:lang w:val="en-US"/>
              </w:rPr>
              <w:t>NP</w:t>
            </w:r>
            <w:r w:rsidR="00A139CB">
              <w:rPr>
                <w:highlight w:val="yellow"/>
                <w:lang w:val="en-US"/>
              </w:rPr>
              <w:t xml:space="preserve">DSCH </w:t>
            </w:r>
            <w:r w:rsidRPr="73E20EA6">
              <w:rPr>
                <w:highlight w:val="yellow"/>
              </w:rPr>
              <w:t>transport block error probability not exceeding 0.1</w:t>
            </w:r>
          </w:p>
        </w:tc>
      </w:tr>
      <w:tr w:rsidR="00620532" w14:paraId="1DEBF933" w14:textId="3E35491F" w:rsidTr="73E20EA6">
        <w:trPr>
          <w:jc w:val="center"/>
        </w:trPr>
        <w:tc>
          <w:tcPr>
            <w:tcW w:w="3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7234B4" w14:textId="77777777" w:rsidR="00620532" w:rsidRDefault="00620532" w:rsidP="008E0411">
            <w:pPr>
              <w:pStyle w:val="TAC"/>
              <w:rPr>
                <w:sz w:val="20"/>
                <w:lang w:val="en-GB"/>
              </w:rPr>
            </w:pPr>
            <w:r>
              <w:rPr>
                <w:lang w:val="en-GB"/>
              </w:rPr>
              <w:t>noMeasurement</w:t>
            </w:r>
          </w:p>
        </w:tc>
        <w:tc>
          <w:tcPr>
            <w:tcW w:w="28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CB73B" w14:textId="77777777" w:rsidR="00620532" w:rsidRDefault="00620532" w:rsidP="008E0411">
            <w:pPr>
              <w:pStyle w:val="TAC"/>
              <w:rPr>
                <w:lang w:val="en-GB"/>
              </w:rPr>
            </w:pPr>
            <w:r>
              <w:rPr>
                <w:lang w:val="en-GB"/>
              </w:rPr>
              <w:t>No measurement reporting</w:t>
            </w:r>
          </w:p>
        </w:tc>
        <w:tc>
          <w:tcPr>
            <w:tcW w:w="2889" w:type="dxa"/>
            <w:tcBorders>
              <w:top w:val="single" w:sz="4" w:space="0" w:color="auto"/>
              <w:left w:val="single" w:sz="4" w:space="0" w:color="auto"/>
              <w:bottom w:val="single" w:sz="4" w:space="0" w:color="auto"/>
              <w:right w:val="single" w:sz="4" w:space="0" w:color="auto"/>
            </w:tcBorders>
          </w:tcPr>
          <w:p w14:paraId="1D430886" w14:textId="692D5924" w:rsidR="00620532" w:rsidRPr="00620532" w:rsidRDefault="00620532" w:rsidP="008E0411">
            <w:pPr>
              <w:pStyle w:val="TAC"/>
              <w:rPr>
                <w:highlight w:val="yellow"/>
                <w:lang w:val="en-GB"/>
              </w:rPr>
            </w:pPr>
            <w:r w:rsidRPr="00620532">
              <w:rPr>
                <w:highlight w:val="yellow"/>
                <w:lang w:val="en-GB"/>
              </w:rPr>
              <w:t>No measurement reporting</w:t>
            </w:r>
          </w:p>
        </w:tc>
      </w:tr>
      <w:tr w:rsidR="00620532" w14:paraId="72B438D2" w14:textId="2FAAC37D" w:rsidTr="73E20EA6">
        <w:trPr>
          <w:jc w:val="center"/>
        </w:trPr>
        <w:tc>
          <w:tcPr>
            <w:tcW w:w="32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C3E7D5" w14:textId="77777777" w:rsidR="00620532" w:rsidRDefault="00620532" w:rsidP="008E0411">
            <w:pPr>
              <w:pStyle w:val="TAC"/>
              <w:rPr>
                <w:lang w:val="en-GB" w:eastAsia="ja-JP"/>
              </w:rPr>
            </w:pPr>
            <w:r>
              <w:rPr>
                <w:lang w:val="en-GB" w:eastAsia="ja-JP"/>
              </w:rPr>
              <w:t>candidateRep-A</w:t>
            </w:r>
          </w:p>
        </w:tc>
        <w:tc>
          <w:tcPr>
            <w:tcW w:w="288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6A182BC" w14:textId="77777777" w:rsidR="00620532" w:rsidRDefault="00620532" w:rsidP="008E0411">
            <w:pPr>
              <w:pStyle w:val="TAC"/>
              <w:rPr>
                <w:lang w:val="en-GB" w:eastAsia="ja-JP"/>
              </w:rPr>
            </w:pPr>
            <w:r>
              <w:rPr>
                <w:lang w:val="en-GB" w:eastAsia="ja-JP"/>
              </w:rPr>
              <w:t>1</w:t>
            </w:r>
          </w:p>
        </w:tc>
        <w:tc>
          <w:tcPr>
            <w:tcW w:w="2889" w:type="dxa"/>
            <w:tcBorders>
              <w:top w:val="single" w:sz="4" w:space="0" w:color="auto"/>
              <w:left w:val="nil"/>
              <w:bottom w:val="single" w:sz="8" w:space="0" w:color="auto"/>
              <w:right w:val="single" w:sz="8" w:space="0" w:color="auto"/>
            </w:tcBorders>
          </w:tcPr>
          <w:p w14:paraId="451A5ED6" w14:textId="3C7FC0C2"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7B11864D" w14:textId="1FB51C13"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F4CD93" w14:textId="77777777" w:rsidR="00620532" w:rsidRDefault="00620532" w:rsidP="008E0411">
            <w:pPr>
              <w:pStyle w:val="TAC"/>
              <w:rPr>
                <w:lang w:val="en-GB" w:eastAsia="ja-JP"/>
              </w:rPr>
            </w:pPr>
            <w:r>
              <w:rPr>
                <w:lang w:val="en-GB" w:eastAsia="ja-JP"/>
              </w:rPr>
              <w:t>candidateRep-B</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7F287C" w14:textId="77777777" w:rsidR="00620532" w:rsidRDefault="00620532" w:rsidP="008E0411">
            <w:pPr>
              <w:pStyle w:val="TAC"/>
              <w:rPr>
                <w:lang w:val="en-GB" w:eastAsia="ja-JP"/>
              </w:rPr>
            </w:pPr>
            <w:r>
              <w:rPr>
                <w:lang w:val="en-GB" w:eastAsia="ja-JP"/>
              </w:rPr>
              <w:t>2</w:t>
            </w:r>
          </w:p>
        </w:tc>
        <w:tc>
          <w:tcPr>
            <w:tcW w:w="2889" w:type="dxa"/>
            <w:tcBorders>
              <w:top w:val="nil"/>
              <w:left w:val="nil"/>
              <w:bottom w:val="single" w:sz="8" w:space="0" w:color="auto"/>
              <w:right w:val="single" w:sz="8" w:space="0" w:color="auto"/>
            </w:tcBorders>
          </w:tcPr>
          <w:p w14:paraId="0202C0B3" w14:textId="6ADAC97D"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5FC75442" w14:textId="3EA7448E"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5A27EA" w14:textId="77777777" w:rsidR="00620532" w:rsidRDefault="00620532" w:rsidP="008E0411">
            <w:pPr>
              <w:pStyle w:val="TAC"/>
              <w:rPr>
                <w:lang w:val="en-GB" w:eastAsia="ja-JP"/>
              </w:rPr>
            </w:pPr>
            <w:r>
              <w:rPr>
                <w:lang w:val="en-GB" w:eastAsia="ja-JP"/>
              </w:rPr>
              <w:t>candidateRep-C</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BA243C" w14:textId="77777777" w:rsidR="00620532" w:rsidRDefault="00620532" w:rsidP="008E0411">
            <w:pPr>
              <w:pStyle w:val="TAC"/>
              <w:rPr>
                <w:lang w:val="en-GB" w:eastAsia="ja-JP"/>
              </w:rPr>
            </w:pPr>
            <w:r>
              <w:rPr>
                <w:lang w:val="en-GB" w:eastAsia="ja-JP"/>
              </w:rPr>
              <w:t>4</w:t>
            </w:r>
          </w:p>
        </w:tc>
        <w:tc>
          <w:tcPr>
            <w:tcW w:w="2889" w:type="dxa"/>
            <w:tcBorders>
              <w:top w:val="nil"/>
              <w:left w:val="nil"/>
              <w:bottom w:val="single" w:sz="8" w:space="0" w:color="auto"/>
              <w:right w:val="single" w:sz="8" w:space="0" w:color="auto"/>
            </w:tcBorders>
          </w:tcPr>
          <w:p w14:paraId="31FDD7E7" w14:textId="6670A9AF"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0C0F77F8" w14:textId="72507B01"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F857C4" w14:textId="77777777" w:rsidR="00620532" w:rsidRDefault="00620532" w:rsidP="008E0411">
            <w:pPr>
              <w:pStyle w:val="TAC"/>
              <w:rPr>
                <w:lang w:val="en-GB" w:eastAsia="ja-JP"/>
              </w:rPr>
            </w:pPr>
            <w:r>
              <w:rPr>
                <w:lang w:val="en-GB" w:eastAsia="ja-JP"/>
              </w:rPr>
              <w:t>candidateRep-D</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4BFAB4" w14:textId="77777777" w:rsidR="00620532" w:rsidRDefault="00620532" w:rsidP="008E0411">
            <w:pPr>
              <w:pStyle w:val="TAC"/>
              <w:rPr>
                <w:lang w:val="en-GB" w:eastAsia="ja-JP"/>
              </w:rPr>
            </w:pPr>
            <w:r>
              <w:rPr>
                <w:lang w:val="en-GB" w:eastAsia="ja-JP"/>
              </w:rPr>
              <w:t>8</w:t>
            </w:r>
          </w:p>
        </w:tc>
        <w:tc>
          <w:tcPr>
            <w:tcW w:w="2889" w:type="dxa"/>
            <w:tcBorders>
              <w:top w:val="nil"/>
              <w:left w:val="nil"/>
              <w:bottom w:val="single" w:sz="8" w:space="0" w:color="auto"/>
              <w:right w:val="single" w:sz="8" w:space="0" w:color="auto"/>
            </w:tcBorders>
          </w:tcPr>
          <w:p w14:paraId="148BB726" w14:textId="0B2A805C"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49743FED" w14:textId="4EFDE1EE"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7A0A55" w14:textId="77777777" w:rsidR="00620532" w:rsidRDefault="00620532" w:rsidP="008E0411">
            <w:pPr>
              <w:pStyle w:val="TAC"/>
              <w:rPr>
                <w:lang w:val="en-GB" w:eastAsia="ja-JP"/>
              </w:rPr>
            </w:pPr>
            <w:r>
              <w:rPr>
                <w:lang w:val="en-GB" w:eastAsia="ja-JP"/>
              </w:rPr>
              <w:t>candidateRep-E</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B4349" w14:textId="77777777" w:rsidR="00620532" w:rsidRDefault="00620532" w:rsidP="008E0411">
            <w:pPr>
              <w:pStyle w:val="TAC"/>
              <w:rPr>
                <w:lang w:val="en-GB" w:eastAsia="ja-JP"/>
              </w:rPr>
            </w:pPr>
            <w:r>
              <w:rPr>
                <w:lang w:val="en-GB" w:eastAsia="ja-JP"/>
              </w:rPr>
              <w:t>16</w:t>
            </w:r>
          </w:p>
        </w:tc>
        <w:tc>
          <w:tcPr>
            <w:tcW w:w="2889" w:type="dxa"/>
            <w:tcBorders>
              <w:top w:val="nil"/>
              <w:left w:val="nil"/>
              <w:bottom w:val="single" w:sz="8" w:space="0" w:color="auto"/>
              <w:right w:val="single" w:sz="8" w:space="0" w:color="auto"/>
            </w:tcBorders>
          </w:tcPr>
          <w:p w14:paraId="7CD138FB" w14:textId="788AFE78"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6EE6E7FD" w14:textId="0183E701"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C543CA" w14:textId="77777777" w:rsidR="00620532" w:rsidRDefault="00620532" w:rsidP="008E0411">
            <w:pPr>
              <w:pStyle w:val="TAC"/>
              <w:rPr>
                <w:lang w:val="en-GB" w:eastAsia="ja-JP"/>
              </w:rPr>
            </w:pPr>
            <w:r>
              <w:rPr>
                <w:lang w:val="en-GB" w:eastAsia="ja-JP"/>
              </w:rPr>
              <w:t>candidateRep-F</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C643F2" w14:textId="77777777" w:rsidR="00620532" w:rsidRDefault="00620532" w:rsidP="008E0411">
            <w:pPr>
              <w:pStyle w:val="TAC"/>
              <w:rPr>
                <w:lang w:val="en-GB" w:eastAsia="ja-JP"/>
              </w:rPr>
            </w:pPr>
            <w:r>
              <w:rPr>
                <w:lang w:val="en-GB" w:eastAsia="ja-JP"/>
              </w:rPr>
              <w:t>32</w:t>
            </w:r>
          </w:p>
        </w:tc>
        <w:tc>
          <w:tcPr>
            <w:tcW w:w="2889" w:type="dxa"/>
            <w:tcBorders>
              <w:top w:val="nil"/>
              <w:left w:val="nil"/>
              <w:bottom w:val="single" w:sz="8" w:space="0" w:color="auto"/>
              <w:right w:val="single" w:sz="8" w:space="0" w:color="auto"/>
            </w:tcBorders>
          </w:tcPr>
          <w:p w14:paraId="3C41C18B" w14:textId="07513284"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2AC2A610" w14:textId="41AAC378"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5EDAA9" w14:textId="77777777" w:rsidR="00620532" w:rsidRDefault="00620532" w:rsidP="008E0411">
            <w:pPr>
              <w:pStyle w:val="TAC"/>
              <w:rPr>
                <w:lang w:val="en-GB" w:eastAsia="ja-JP"/>
              </w:rPr>
            </w:pPr>
            <w:r>
              <w:rPr>
                <w:lang w:val="en-GB" w:eastAsia="ja-JP"/>
              </w:rPr>
              <w:t>candidateRep-G</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F741B6" w14:textId="77777777" w:rsidR="00620532" w:rsidRDefault="00620532" w:rsidP="008E0411">
            <w:pPr>
              <w:pStyle w:val="TAC"/>
              <w:rPr>
                <w:lang w:val="en-GB" w:eastAsia="ja-JP"/>
              </w:rPr>
            </w:pPr>
            <w:r>
              <w:rPr>
                <w:lang w:val="en-GB" w:eastAsia="ja-JP"/>
              </w:rPr>
              <w:t>64</w:t>
            </w:r>
          </w:p>
        </w:tc>
        <w:tc>
          <w:tcPr>
            <w:tcW w:w="2889" w:type="dxa"/>
            <w:tcBorders>
              <w:top w:val="nil"/>
              <w:left w:val="nil"/>
              <w:bottom w:val="single" w:sz="8" w:space="0" w:color="auto"/>
              <w:right w:val="single" w:sz="8" w:space="0" w:color="auto"/>
            </w:tcBorders>
          </w:tcPr>
          <w:p w14:paraId="4F19ACF5" w14:textId="510B9B3D"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0D985841" w14:textId="270D0F18"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6987E3" w14:textId="77777777" w:rsidR="00620532" w:rsidRDefault="00620532" w:rsidP="008E0411">
            <w:pPr>
              <w:pStyle w:val="TAC"/>
              <w:rPr>
                <w:lang w:val="en-GB" w:eastAsia="ja-JP"/>
              </w:rPr>
            </w:pPr>
            <w:r>
              <w:rPr>
                <w:lang w:val="en-GB" w:eastAsia="ja-JP"/>
              </w:rPr>
              <w:t>candidateRep-H</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8EBB4C" w14:textId="77777777" w:rsidR="00620532" w:rsidRDefault="00620532" w:rsidP="008E0411">
            <w:pPr>
              <w:pStyle w:val="TAC"/>
              <w:rPr>
                <w:lang w:val="en-GB" w:eastAsia="ja-JP"/>
              </w:rPr>
            </w:pPr>
            <w:r>
              <w:rPr>
                <w:lang w:val="en-GB" w:eastAsia="ja-JP"/>
              </w:rPr>
              <w:t>128</w:t>
            </w:r>
          </w:p>
        </w:tc>
        <w:tc>
          <w:tcPr>
            <w:tcW w:w="2889" w:type="dxa"/>
            <w:tcBorders>
              <w:top w:val="nil"/>
              <w:left w:val="nil"/>
              <w:bottom w:val="single" w:sz="8" w:space="0" w:color="auto"/>
              <w:right w:val="single" w:sz="8" w:space="0" w:color="auto"/>
            </w:tcBorders>
          </w:tcPr>
          <w:p w14:paraId="3B08C843" w14:textId="454F5039"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1C185207" w14:textId="5AF78330"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7E5DA0" w14:textId="77777777" w:rsidR="00620532" w:rsidRDefault="00620532" w:rsidP="008E0411">
            <w:pPr>
              <w:pStyle w:val="TAC"/>
              <w:rPr>
                <w:lang w:val="en-GB" w:eastAsia="ja-JP"/>
              </w:rPr>
            </w:pPr>
            <w:r>
              <w:rPr>
                <w:lang w:val="en-GB" w:eastAsia="ja-JP"/>
              </w:rPr>
              <w:t>candidateRep-I</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DA9CD1" w14:textId="77777777" w:rsidR="00620532" w:rsidRDefault="00620532" w:rsidP="008E0411">
            <w:pPr>
              <w:pStyle w:val="TAC"/>
              <w:rPr>
                <w:lang w:val="en-GB" w:eastAsia="ja-JP"/>
              </w:rPr>
            </w:pPr>
            <w:r>
              <w:rPr>
                <w:lang w:val="en-GB" w:eastAsia="ja-JP"/>
              </w:rPr>
              <w:t>256</w:t>
            </w:r>
          </w:p>
        </w:tc>
        <w:tc>
          <w:tcPr>
            <w:tcW w:w="2889" w:type="dxa"/>
            <w:tcBorders>
              <w:top w:val="nil"/>
              <w:left w:val="nil"/>
              <w:bottom w:val="single" w:sz="8" w:space="0" w:color="auto"/>
              <w:right w:val="single" w:sz="8" w:space="0" w:color="auto"/>
            </w:tcBorders>
          </w:tcPr>
          <w:p w14:paraId="6470A1E6" w14:textId="0EC5651D"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0CE16BEF" w14:textId="4FFFF01C"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0FA404" w14:textId="77777777" w:rsidR="00620532" w:rsidRDefault="00620532" w:rsidP="008E0411">
            <w:pPr>
              <w:pStyle w:val="TAC"/>
              <w:rPr>
                <w:lang w:val="en-GB" w:eastAsia="ja-JP"/>
              </w:rPr>
            </w:pPr>
            <w:r>
              <w:rPr>
                <w:lang w:val="en-GB" w:eastAsia="ja-JP"/>
              </w:rPr>
              <w:t>candidateRep-J</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14269D" w14:textId="77777777" w:rsidR="00620532" w:rsidRDefault="00620532" w:rsidP="008E0411">
            <w:pPr>
              <w:pStyle w:val="TAC"/>
              <w:rPr>
                <w:lang w:val="en-GB" w:eastAsia="ja-JP"/>
              </w:rPr>
            </w:pPr>
            <w:r>
              <w:rPr>
                <w:lang w:val="en-GB" w:eastAsia="ja-JP"/>
              </w:rPr>
              <w:t>512</w:t>
            </w:r>
          </w:p>
        </w:tc>
        <w:tc>
          <w:tcPr>
            <w:tcW w:w="2889" w:type="dxa"/>
            <w:tcBorders>
              <w:top w:val="nil"/>
              <w:left w:val="nil"/>
              <w:bottom w:val="single" w:sz="8" w:space="0" w:color="auto"/>
              <w:right w:val="single" w:sz="8" w:space="0" w:color="auto"/>
            </w:tcBorders>
          </w:tcPr>
          <w:p w14:paraId="28AB502B" w14:textId="45C4CB2C"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58F3B20A" w14:textId="4F2F4DF9"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F656B6" w14:textId="77777777" w:rsidR="00620532" w:rsidRDefault="00620532" w:rsidP="008E0411">
            <w:pPr>
              <w:pStyle w:val="TAC"/>
              <w:rPr>
                <w:lang w:val="en-GB" w:eastAsia="ja-JP"/>
              </w:rPr>
            </w:pPr>
            <w:r>
              <w:rPr>
                <w:lang w:val="en-GB" w:eastAsia="ja-JP"/>
              </w:rPr>
              <w:t>candidateRep-K</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696860" w14:textId="77777777" w:rsidR="00620532" w:rsidRDefault="00620532" w:rsidP="008E0411">
            <w:pPr>
              <w:pStyle w:val="TAC"/>
              <w:rPr>
                <w:lang w:val="en-GB" w:eastAsia="ja-JP"/>
              </w:rPr>
            </w:pPr>
            <w:r>
              <w:rPr>
                <w:lang w:val="en-GB" w:eastAsia="ja-JP"/>
              </w:rPr>
              <w:t>1024</w:t>
            </w:r>
          </w:p>
        </w:tc>
        <w:tc>
          <w:tcPr>
            <w:tcW w:w="2889" w:type="dxa"/>
            <w:tcBorders>
              <w:top w:val="nil"/>
              <w:left w:val="nil"/>
              <w:bottom w:val="single" w:sz="8" w:space="0" w:color="auto"/>
              <w:right w:val="single" w:sz="8" w:space="0" w:color="auto"/>
            </w:tcBorders>
          </w:tcPr>
          <w:p w14:paraId="64CF26D1" w14:textId="29B33552"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46019AA4" w14:textId="7A110633"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020593" w14:textId="77777777" w:rsidR="00620532" w:rsidRDefault="00620532" w:rsidP="008E0411">
            <w:pPr>
              <w:pStyle w:val="TAC"/>
              <w:rPr>
                <w:lang w:val="en-GB" w:eastAsia="ja-JP"/>
              </w:rPr>
            </w:pPr>
            <w:r>
              <w:rPr>
                <w:lang w:val="en-GB" w:eastAsia="ja-JP"/>
              </w:rPr>
              <w:t>candidateRep-L</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9C8703" w14:textId="77777777" w:rsidR="00620532" w:rsidRDefault="00620532" w:rsidP="008E0411">
            <w:pPr>
              <w:pStyle w:val="TAC"/>
              <w:rPr>
                <w:lang w:val="en-GB" w:eastAsia="ja-JP"/>
              </w:rPr>
            </w:pPr>
            <w:r>
              <w:rPr>
                <w:lang w:val="en-GB" w:eastAsia="ja-JP"/>
              </w:rPr>
              <w:t>2048</w:t>
            </w:r>
          </w:p>
        </w:tc>
        <w:tc>
          <w:tcPr>
            <w:tcW w:w="2889" w:type="dxa"/>
            <w:tcBorders>
              <w:top w:val="nil"/>
              <w:left w:val="nil"/>
              <w:bottom w:val="single" w:sz="8" w:space="0" w:color="auto"/>
              <w:right w:val="single" w:sz="8" w:space="0" w:color="auto"/>
            </w:tcBorders>
          </w:tcPr>
          <w:p w14:paraId="7A27D067" w14:textId="5B115890"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4463B72E" w14:textId="6473059D"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9661D1" w14:textId="77777777" w:rsidR="00620532" w:rsidRDefault="00620532" w:rsidP="0087196A">
            <w:pPr>
              <w:pStyle w:val="TAC"/>
              <w:rPr>
                <w:highlight w:val="yellow"/>
                <w:lang w:val="en-GB" w:eastAsia="ja-JP"/>
              </w:rPr>
            </w:pPr>
            <w:r>
              <w:rPr>
                <w:highlight w:val="yellow"/>
                <w:lang w:val="en-GB" w:eastAsia="ja-JP"/>
              </w:rPr>
              <w:t>candidateRep-M</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335968" w14:textId="77777777" w:rsidR="00620532" w:rsidRPr="00297E70" w:rsidRDefault="00620532" w:rsidP="0087196A">
            <w:pPr>
              <w:pStyle w:val="TAC"/>
              <w:rPr>
                <w:highlight w:val="yellow"/>
                <w:lang w:val="en-GB" w:eastAsia="ja-JP"/>
              </w:rPr>
            </w:pPr>
            <w:r w:rsidRPr="00297E70">
              <w:rPr>
                <w:highlight w:val="yellow"/>
                <w:lang w:val="en-GB" w:eastAsia="ja-JP"/>
              </w:rPr>
              <w:t>1</w:t>
            </w:r>
          </w:p>
        </w:tc>
        <w:tc>
          <w:tcPr>
            <w:tcW w:w="2889" w:type="dxa"/>
            <w:tcBorders>
              <w:top w:val="nil"/>
              <w:left w:val="nil"/>
              <w:bottom w:val="single" w:sz="8" w:space="0" w:color="auto"/>
              <w:right w:val="single" w:sz="8" w:space="0" w:color="auto"/>
            </w:tcBorders>
          </w:tcPr>
          <w:p w14:paraId="2BAB3E2A" w14:textId="0C12AB1F" w:rsidR="00620532" w:rsidRPr="00297E70" w:rsidRDefault="00620532" w:rsidP="0087196A">
            <w:pPr>
              <w:pStyle w:val="TAC"/>
              <w:rPr>
                <w:highlight w:val="yellow"/>
                <w:lang w:val="en-GB" w:eastAsia="ja-JP"/>
              </w:rPr>
            </w:pPr>
            <w:r>
              <w:rPr>
                <w:highlight w:val="yellow"/>
                <w:lang w:val="en-GB" w:eastAsia="ja-JP"/>
              </w:rPr>
              <w:t>0</w:t>
            </w:r>
          </w:p>
        </w:tc>
      </w:tr>
      <w:tr w:rsidR="00620532" w14:paraId="462DA3B9" w14:textId="637C9AD6"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772DDD" w14:textId="77777777" w:rsidR="00620532" w:rsidRDefault="00620532" w:rsidP="0087196A">
            <w:pPr>
              <w:pStyle w:val="TAC"/>
              <w:rPr>
                <w:highlight w:val="yellow"/>
                <w:lang w:val="en-GB" w:eastAsia="ja-JP"/>
              </w:rPr>
            </w:pPr>
            <w:r>
              <w:rPr>
                <w:highlight w:val="yellow"/>
                <w:lang w:val="en-GB" w:eastAsia="ja-JP"/>
              </w:rPr>
              <w:t>candidateRep-N</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273C12" w14:textId="77777777" w:rsidR="00620532" w:rsidRPr="00297E70" w:rsidRDefault="00620532" w:rsidP="0087196A">
            <w:pPr>
              <w:pStyle w:val="TAC"/>
              <w:rPr>
                <w:highlight w:val="yellow"/>
                <w:lang w:val="en-GB" w:eastAsia="ja-JP"/>
              </w:rPr>
            </w:pPr>
            <w:r w:rsidRPr="00297E70">
              <w:rPr>
                <w:highlight w:val="yellow"/>
                <w:lang w:val="en-GB" w:eastAsia="ja-JP"/>
              </w:rPr>
              <w:t>1</w:t>
            </w:r>
          </w:p>
        </w:tc>
        <w:tc>
          <w:tcPr>
            <w:tcW w:w="2889" w:type="dxa"/>
            <w:tcBorders>
              <w:top w:val="nil"/>
              <w:left w:val="nil"/>
              <w:bottom w:val="single" w:sz="8" w:space="0" w:color="auto"/>
              <w:right w:val="single" w:sz="8" w:space="0" w:color="auto"/>
            </w:tcBorders>
          </w:tcPr>
          <w:p w14:paraId="3E4CEBD1" w14:textId="433B732B" w:rsidR="00620532" w:rsidRPr="00297E70" w:rsidRDefault="00620532" w:rsidP="0087196A">
            <w:pPr>
              <w:pStyle w:val="TAC"/>
              <w:rPr>
                <w:highlight w:val="yellow"/>
                <w:lang w:val="en-GB" w:eastAsia="ja-JP"/>
              </w:rPr>
            </w:pPr>
            <w:r>
              <w:rPr>
                <w:highlight w:val="yellow"/>
                <w:lang w:val="en-GB" w:eastAsia="ja-JP"/>
              </w:rPr>
              <w:t>1</w:t>
            </w:r>
          </w:p>
        </w:tc>
      </w:tr>
      <w:tr w:rsidR="00620532" w14:paraId="0C6D08F9" w14:textId="27FF963B"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EEC83F" w14:textId="77777777" w:rsidR="00620532" w:rsidRDefault="00620532" w:rsidP="0087196A">
            <w:pPr>
              <w:pStyle w:val="TAC"/>
              <w:rPr>
                <w:highlight w:val="yellow"/>
                <w:lang w:val="en-GB" w:eastAsia="ja-JP"/>
              </w:rPr>
            </w:pPr>
            <w:r>
              <w:rPr>
                <w:highlight w:val="yellow"/>
                <w:lang w:val="en-GB" w:eastAsia="ja-JP"/>
              </w:rPr>
              <w:t>candidateRep-O</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850322" w14:textId="77777777" w:rsidR="00620532" w:rsidRPr="00297E70" w:rsidRDefault="00620532" w:rsidP="0087196A">
            <w:pPr>
              <w:pStyle w:val="TAC"/>
              <w:rPr>
                <w:highlight w:val="yellow"/>
                <w:lang w:val="en-GB" w:eastAsia="ja-JP"/>
              </w:rPr>
            </w:pPr>
            <w:r w:rsidRPr="00297E70">
              <w:rPr>
                <w:highlight w:val="yellow"/>
                <w:lang w:val="en-GB" w:eastAsia="ja-JP"/>
              </w:rPr>
              <w:t>1</w:t>
            </w:r>
          </w:p>
        </w:tc>
        <w:tc>
          <w:tcPr>
            <w:tcW w:w="2889" w:type="dxa"/>
            <w:tcBorders>
              <w:top w:val="nil"/>
              <w:left w:val="nil"/>
              <w:bottom w:val="single" w:sz="8" w:space="0" w:color="auto"/>
              <w:right w:val="single" w:sz="8" w:space="0" w:color="auto"/>
            </w:tcBorders>
          </w:tcPr>
          <w:p w14:paraId="13331F17" w14:textId="5ABE0738" w:rsidR="00620532" w:rsidRPr="00297E70" w:rsidRDefault="00620532" w:rsidP="0087196A">
            <w:pPr>
              <w:pStyle w:val="TAC"/>
              <w:rPr>
                <w:highlight w:val="yellow"/>
                <w:lang w:val="en-GB" w:eastAsia="ja-JP"/>
              </w:rPr>
            </w:pPr>
            <w:r>
              <w:rPr>
                <w:highlight w:val="yellow"/>
                <w:lang w:val="en-GB" w:eastAsia="ja-JP"/>
              </w:rPr>
              <w:t>2</w:t>
            </w:r>
          </w:p>
        </w:tc>
      </w:tr>
    </w:tbl>
    <w:p w14:paraId="4DFDE5A3" w14:textId="77777777" w:rsidR="00321BE0" w:rsidRDefault="00321BE0" w:rsidP="00321BE0">
      <w:pPr>
        <w:pStyle w:val="ListParagraph"/>
        <w:ind w:left="0"/>
        <w:rPr>
          <w:rFonts w:eastAsiaTheme="minorHAnsi" w:cs="Calibri"/>
          <w:lang w:val="en-US"/>
        </w:rPr>
      </w:pPr>
    </w:p>
    <w:p w14:paraId="18D811F2" w14:textId="2DEC8EDF" w:rsidR="00AB47B7" w:rsidRPr="00161B74" w:rsidRDefault="00AB47B7" w:rsidP="00D55493">
      <w:pPr>
        <w:keepNext/>
        <w:keepLines/>
        <w:jc w:val="center"/>
        <w:rPr>
          <w:b/>
          <w:bCs/>
          <w:sz w:val="16"/>
          <w:szCs w:val="16"/>
        </w:rPr>
      </w:pPr>
      <w:r w:rsidRPr="00161B74">
        <w:rPr>
          <w:b/>
          <w:bCs/>
          <w:sz w:val="16"/>
          <w:szCs w:val="16"/>
        </w:rPr>
        <w:t xml:space="preserve">Table </w:t>
      </w:r>
      <w:r w:rsidR="00714F34" w:rsidRPr="00161B74">
        <w:rPr>
          <w:b/>
          <w:bCs/>
          <w:sz w:val="16"/>
          <w:szCs w:val="16"/>
        </w:rPr>
        <w:t>4</w:t>
      </w:r>
      <w:r w:rsidR="00161B74" w:rsidRPr="00161B74">
        <w:rPr>
          <w:b/>
          <w:bCs/>
          <w:sz w:val="16"/>
          <w:szCs w:val="16"/>
        </w:rPr>
        <w:t>b</w:t>
      </w:r>
      <w:r w:rsidRPr="00161B74">
        <w:rPr>
          <w:b/>
          <w:bCs/>
          <w:sz w:val="16"/>
          <w:szCs w:val="16"/>
        </w:rPr>
        <w:t>. NB-IoT 16-QAM CQI index</w:t>
      </w:r>
    </w:p>
    <w:tbl>
      <w:tblPr>
        <w:tblStyle w:val="TableGrid"/>
        <w:tblW w:w="0" w:type="auto"/>
        <w:jc w:val="center"/>
        <w:tblLook w:val="04A0" w:firstRow="1" w:lastRow="0" w:firstColumn="1" w:lastColumn="0" w:noHBand="0" w:noVBand="1"/>
      </w:tblPr>
      <w:tblGrid>
        <w:gridCol w:w="1057"/>
        <w:gridCol w:w="1341"/>
        <w:gridCol w:w="1341"/>
      </w:tblGrid>
      <w:tr w:rsidR="001D18CE" w14:paraId="11FA9C17" w14:textId="77777777" w:rsidTr="0028142E">
        <w:trPr>
          <w:trHeight w:val="163"/>
          <w:jc w:val="center"/>
        </w:trPr>
        <w:tc>
          <w:tcPr>
            <w:tcW w:w="0" w:type="auto"/>
            <w:vMerge w:val="restart"/>
          </w:tcPr>
          <w:p w14:paraId="253B593F" w14:textId="77777777" w:rsidR="001D18CE" w:rsidRDefault="001D18CE" w:rsidP="00D55493">
            <w:pPr>
              <w:keepNext/>
              <w:keepLines/>
              <w:jc w:val="center"/>
              <w:rPr>
                <w:rFonts w:ascii="Arial" w:hAnsi="Arial" w:cs="Arial"/>
                <w:b/>
                <w:bCs/>
                <w:sz w:val="18"/>
                <w:szCs w:val="18"/>
                <w:lang w:val="en-US"/>
              </w:rPr>
            </w:pPr>
          </w:p>
          <w:p w14:paraId="09FEC8A0" w14:textId="315F0479" w:rsidR="001D18CE" w:rsidRPr="00AB47B7" w:rsidRDefault="001D18CE" w:rsidP="00D55493">
            <w:pPr>
              <w:keepNext/>
              <w:keepLines/>
              <w:jc w:val="center"/>
              <w:rPr>
                <w:rFonts w:ascii="Arial" w:hAnsi="Arial" w:cs="Arial"/>
                <w:b/>
                <w:bCs/>
                <w:sz w:val="18"/>
                <w:szCs w:val="18"/>
                <w:lang w:val="en-US"/>
              </w:rPr>
            </w:pPr>
            <w:r w:rsidRPr="00AB47B7">
              <w:rPr>
                <w:rFonts w:ascii="Arial" w:hAnsi="Arial" w:cs="Arial"/>
                <w:b/>
                <w:bCs/>
                <w:sz w:val="18"/>
                <w:szCs w:val="18"/>
                <w:lang w:val="en-US"/>
              </w:rPr>
              <w:t>CQI Index</w:t>
            </w:r>
          </w:p>
        </w:tc>
        <w:tc>
          <w:tcPr>
            <w:tcW w:w="2682" w:type="dxa"/>
            <w:gridSpan w:val="2"/>
          </w:tcPr>
          <w:p w14:paraId="0E63492A" w14:textId="07C268E7" w:rsidR="001D18CE" w:rsidRPr="00AB47B7" w:rsidRDefault="001D18CE" w:rsidP="00D55493">
            <w:pPr>
              <w:keepNext/>
              <w:keepLines/>
              <w:jc w:val="center"/>
              <w:rPr>
                <w:rFonts w:ascii="Arial" w:hAnsi="Arial" w:cs="Arial"/>
                <w:b/>
                <w:bCs/>
                <w:sz w:val="18"/>
                <w:szCs w:val="18"/>
                <w:lang w:val="en-US"/>
              </w:rPr>
            </w:pPr>
            <w:r w:rsidRPr="00AB47B7">
              <w:rPr>
                <w:rFonts w:ascii="Arial" w:hAnsi="Arial" w:cs="Arial"/>
                <w:b/>
                <w:bCs/>
                <w:sz w:val="18"/>
                <w:szCs w:val="18"/>
                <w:lang w:val="en-US"/>
              </w:rPr>
              <w:t>I</w:t>
            </w:r>
            <w:r w:rsidRPr="00AB47B7">
              <w:rPr>
                <w:rFonts w:ascii="Arial" w:hAnsi="Arial" w:cs="Arial"/>
                <w:b/>
                <w:bCs/>
                <w:sz w:val="18"/>
                <w:szCs w:val="18"/>
                <w:vertAlign w:val="subscript"/>
                <w:lang w:val="en-US"/>
              </w:rPr>
              <w:t>TBS</w:t>
            </w:r>
            <w:r w:rsidR="00964BE3">
              <w:rPr>
                <w:rFonts w:ascii="Arial" w:hAnsi="Arial" w:cs="Arial"/>
                <w:b/>
                <w:bCs/>
                <w:sz w:val="18"/>
                <w:szCs w:val="18"/>
                <w:vertAlign w:val="subscript"/>
                <w:lang w:val="en-US"/>
              </w:rPr>
              <w:t xml:space="preserve"> </w:t>
            </w:r>
            <w:r w:rsidR="00964BE3" w:rsidRPr="00964BE3">
              <w:rPr>
                <w:rFonts w:ascii="Arial" w:hAnsi="Arial" w:cs="Arial"/>
                <w:b/>
                <w:bCs/>
                <w:sz w:val="18"/>
                <w:szCs w:val="18"/>
                <w:lang w:val="en-US"/>
              </w:rPr>
              <w:t>index</w:t>
            </w:r>
          </w:p>
        </w:tc>
      </w:tr>
      <w:tr w:rsidR="001D18CE" w14:paraId="0027DA33" w14:textId="77777777" w:rsidTr="0028142E">
        <w:trPr>
          <w:trHeight w:val="163"/>
          <w:jc w:val="center"/>
        </w:trPr>
        <w:tc>
          <w:tcPr>
            <w:tcW w:w="0" w:type="auto"/>
            <w:vMerge/>
          </w:tcPr>
          <w:p w14:paraId="064133CC" w14:textId="77777777" w:rsidR="001D18CE" w:rsidRPr="00AB47B7" w:rsidRDefault="001D18CE" w:rsidP="00D55493">
            <w:pPr>
              <w:keepNext/>
              <w:keepLines/>
              <w:jc w:val="center"/>
              <w:rPr>
                <w:rFonts w:ascii="Arial" w:hAnsi="Arial" w:cs="Arial"/>
                <w:b/>
                <w:bCs/>
                <w:sz w:val="18"/>
                <w:szCs w:val="18"/>
                <w:lang w:val="en-US"/>
              </w:rPr>
            </w:pPr>
          </w:p>
        </w:tc>
        <w:tc>
          <w:tcPr>
            <w:tcW w:w="1341" w:type="dxa"/>
          </w:tcPr>
          <w:p w14:paraId="4C65B98E" w14:textId="2DF8D6C9" w:rsidR="001D18CE" w:rsidRPr="0028142E" w:rsidRDefault="001D18CE" w:rsidP="00D55493">
            <w:pPr>
              <w:keepNext/>
              <w:keepLines/>
              <w:jc w:val="center"/>
              <w:rPr>
                <w:rFonts w:ascii="Arial" w:hAnsi="Arial" w:cs="Arial"/>
                <w:b/>
                <w:bCs/>
                <w:sz w:val="18"/>
                <w:szCs w:val="18"/>
                <w:lang w:val="en-US"/>
              </w:rPr>
            </w:pPr>
            <w:r w:rsidRPr="0028142E">
              <w:rPr>
                <w:sz w:val="18"/>
                <w:szCs w:val="18"/>
              </w:rPr>
              <w:t>Guard-band and Stand-alone deployments</w:t>
            </w:r>
          </w:p>
        </w:tc>
        <w:tc>
          <w:tcPr>
            <w:tcW w:w="1341" w:type="dxa"/>
          </w:tcPr>
          <w:p w14:paraId="0E6CD4AE" w14:textId="3E54B4FC" w:rsidR="001D18CE" w:rsidRPr="0028142E" w:rsidRDefault="001D18CE" w:rsidP="00D55493">
            <w:pPr>
              <w:keepNext/>
              <w:keepLines/>
              <w:jc w:val="center"/>
              <w:rPr>
                <w:rFonts w:ascii="Arial" w:hAnsi="Arial" w:cs="Arial"/>
                <w:b/>
                <w:bCs/>
                <w:sz w:val="18"/>
                <w:szCs w:val="18"/>
                <w:lang w:val="en-US"/>
              </w:rPr>
            </w:pPr>
            <w:r w:rsidRPr="0028142E">
              <w:rPr>
                <w:sz w:val="18"/>
                <w:szCs w:val="18"/>
              </w:rPr>
              <w:t>In-band deployments</w:t>
            </w:r>
          </w:p>
        </w:tc>
      </w:tr>
      <w:tr w:rsidR="0028142E" w14:paraId="7AD2802B" w14:textId="77777777" w:rsidTr="00B15A1F">
        <w:trPr>
          <w:jc w:val="center"/>
        </w:trPr>
        <w:tc>
          <w:tcPr>
            <w:tcW w:w="0" w:type="auto"/>
          </w:tcPr>
          <w:p w14:paraId="5642CAF0" w14:textId="4BAA207C" w:rsidR="0028142E" w:rsidRPr="00AB47B7" w:rsidRDefault="0028142E" w:rsidP="00D55493">
            <w:pPr>
              <w:keepNext/>
              <w:keepLines/>
              <w:jc w:val="center"/>
              <w:rPr>
                <w:rFonts w:ascii="Arial" w:hAnsi="Arial" w:cs="Arial"/>
                <w:sz w:val="18"/>
                <w:szCs w:val="18"/>
                <w:lang w:val="en-US"/>
              </w:rPr>
            </w:pPr>
            <w:r w:rsidRPr="00AB47B7">
              <w:rPr>
                <w:rFonts w:ascii="Arial" w:hAnsi="Arial" w:cs="Arial"/>
                <w:sz w:val="18"/>
                <w:szCs w:val="18"/>
                <w:lang w:val="en-US"/>
              </w:rPr>
              <w:t>0</w:t>
            </w:r>
          </w:p>
        </w:tc>
        <w:tc>
          <w:tcPr>
            <w:tcW w:w="1341" w:type="dxa"/>
          </w:tcPr>
          <w:p w14:paraId="00056DB5" w14:textId="77777777" w:rsidR="0028142E" w:rsidRPr="00AB47B7" w:rsidRDefault="0028142E" w:rsidP="00D55493">
            <w:pPr>
              <w:keepNext/>
              <w:keepLines/>
              <w:jc w:val="center"/>
              <w:rPr>
                <w:rFonts w:ascii="Arial" w:hAnsi="Arial" w:cs="Arial"/>
                <w:sz w:val="18"/>
                <w:szCs w:val="18"/>
                <w:lang w:val="en-US"/>
              </w:rPr>
            </w:pPr>
            <w:r w:rsidRPr="00AB47B7">
              <w:rPr>
                <w:rFonts w:ascii="Arial" w:hAnsi="Arial" w:cs="Arial"/>
                <w:sz w:val="18"/>
                <w:szCs w:val="18"/>
                <w:lang w:val="en-US"/>
              </w:rPr>
              <w:t>A</w:t>
            </w:r>
          </w:p>
        </w:tc>
        <w:tc>
          <w:tcPr>
            <w:tcW w:w="1341" w:type="dxa"/>
          </w:tcPr>
          <w:p w14:paraId="5B7035F3" w14:textId="4BA7D58B" w:rsidR="0028142E" w:rsidRPr="00AB47B7" w:rsidRDefault="0028142E" w:rsidP="00D55493">
            <w:pPr>
              <w:keepNext/>
              <w:keepLines/>
              <w:jc w:val="center"/>
              <w:rPr>
                <w:rFonts w:ascii="Arial" w:hAnsi="Arial" w:cs="Arial"/>
                <w:sz w:val="18"/>
                <w:szCs w:val="18"/>
                <w:lang w:val="en-US"/>
              </w:rPr>
            </w:pPr>
            <w:r>
              <w:rPr>
                <w:rFonts w:ascii="Arial" w:hAnsi="Arial" w:cs="Arial"/>
                <w:sz w:val="18"/>
                <w:szCs w:val="18"/>
                <w:lang w:val="en-US"/>
              </w:rPr>
              <w:t>D</w:t>
            </w:r>
          </w:p>
        </w:tc>
      </w:tr>
      <w:tr w:rsidR="0028142E" w14:paraId="7A5697E0" w14:textId="77777777" w:rsidTr="00B15A1F">
        <w:trPr>
          <w:jc w:val="center"/>
        </w:trPr>
        <w:tc>
          <w:tcPr>
            <w:tcW w:w="0" w:type="auto"/>
          </w:tcPr>
          <w:p w14:paraId="788BEA1A" w14:textId="58AD1541" w:rsidR="0028142E" w:rsidRPr="00AB47B7" w:rsidRDefault="0028142E" w:rsidP="00D55493">
            <w:pPr>
              <w:keepNext/>
              <w:keepLines/>
              <w:jc w:val="center"/>
              <w:rPr>
                <w:rFonts w:ascii="Arial" w:hAnsi="Arial" w:cs="Arial"/>
                <w:sz w:val="18"/>
                <w:szCs w:val="18"/>
                <w:lang w:val="en-US"/>
              </w:rPr>
            </w:pPr>
            <w:r w:rsidRPr="00AB47B7">
              <w:rPr>
                <w:rFonts w:ascii="Arial" w:hAnsi="Arial" w:cs="Arial"/>
                <w:sz w:val="18"/>
                <w:szCs w:val="18"/>
                <w:lang w:val="en-US"/>
              </w:rPr>
              <w:t>1</w:t>
            </w:r>
          </w:p>
        </w:tc>
        <w:tc>
          <w:tcPr>
            <w:tcW w:w="1341" w:type="dxa"/>
          </w:tcPr>
          <w:p w14:paraId="2FBDE27A" w14:textId="77777777" w:rsidR="0028142E" w:rsidRPr="00AB47B7" w:rsidRDefault="0028142E" w:rsidP="00D55493">
            <w:pPr>
              <w:keepNext/>
              <w:keepLines/>
              <w:jc w:val="center"/>
              <w:rPr>
                <w:rFonts w:ascii="Arial" w:hAnsi="Arial" w:cs="Arial"/>
                <w:sz w:val="18"/>
                <w:szCs w:val="18"/>
                <w:lang w:val="en-US"/>
              </w:rPr>
            </w:pPr>
            <w:r w:rsidRPr="00AB47B7">
              <w:rPr>
                <w:rFonts w:ascii="Arial" w:hAnsi="Arial" w:cs="Arial"/>
                <w:sz w:val="18"/>
                <w:szCs w:val="18"/>
                <w:lang w:val="en-US"/>
              </w:rPr>
              <w:t>B</w:t>
            </w:r>
          </w:p>
        </w:tc>
        <w:tc>
          <w:tcPr>
            <w:tcW w:w="1341" w:type="dxa"/>
          </w:tcPr>
          <w:p w14:paraId="2AA0EAA5" w14:textId="00B81615" w:rsidR="0028142E" w:rsidRPr="00AB47B7" w:rsidRDefault="0028142E" w:rsidP="00D55493">
            <w:pPr>
              <w:keepNext/>
              <w:keepLines/>
              <w:jc w:val="center"/>
              <w:rPr>
                <w:rFonts w:ascii="Arial" w:hAnsi="Arial" w:cs="Arial"/>
                <w:sz w:val="18"/>
                <w:szCs w:val="18"/>
                <w:lang w:val="en-US"/>
              </w:rPr>
            </w:pPr>
            <w:r>
              <w:rPr>
                <w:rFonts w:ascii="Arial" w:hAnsi="Arial" w:cs="Arial"/>
                <w:sz w:val="18"/>
                <w:szCs w:val="18"/>
                <w:lang w:val="en-US"/>
              </w:rPr>
              <w:t>E</w:t>
            </w:r>
          </w:p>
        </w:tc>
      </w:tr>
      <w:tr w:rsidR="0028142E" w14:paraId="0F18EDEE" w14:textId="77777777" w:rsidTr="00B15A1F">
        <w:trPr>
          <w:jc w:val="center"/>
        </w:trPr>
        <w:tc>
          <w:tcPr>
            <w:tcW w:w="0" w:type="auto"/>
          </w:tcPr>
          <w:p w14:paraId="670D67B4" w14:textId="03154126" w:rsidR="0028142E" w:rsidRPr="00AB47B7" w:rsidRDefault="0028142E" w:rsidP="00D55493">
            <w:pPr>
              <w:keepNext/>
              <w:keepLines/>
              <w:jc w:val="center"/>
              <w:rPr>
                <w:rFonts w:ascii="Arial" w:hAnsi="Arial" w:cs="Arial"/>
                <w:sz w:val="18"/>
                <w:szCs w:val="18"/>
                <w:lang w:val="en-US"/>
              </w:rPr>
            </w:pPr>
            <w:r w:rsidRPr="00AB47B7">
              <w:rPr>
                <w:rFonts w:ascii="Arial" w:hAnsi="Arial" w:cs="Arial"/>
                <w:sz w:val="18"/>
                <w:szCs w:val="18"/>
                <w:lang w:val="en-US"/>
              </w:rPr>
              <w:t>2</w:t>
            </w:r>
          </w:p>
        </w:tc>
        <w:tc>
          <w:tcPr>
            <w:tcW w:w="1341" w:type="dxa"/>
          </w:tcPr>
          <w:p w14:paraId="00F1D8B1" w14:textId="77777777" w:rsidR="0028142E" w:rsidRPr="00AB47B7" w:rsidRDefault="0028142E" w:rsidP="00D55493">
            <w:pPr>
              <w:keepNext/>
              <w:keepLines/>
              <w:jc w:val="center"/>
              <w:rPr>
                <w:rFonts w:ascii="Arial" w:hAnsi="Arial" w:cs="Arial"/>
                <w:sz w:val="18"/>
                <w:szCs w:val="18"/>
                <w:lang w:val="en-US"/>
              </w:rPr>
            </w:pPr>
            <w:r w:rsidRPr="00AB47B7">
              <w:rPr>
                <w:rFonts w:ascii="Arial" w:hAnsi="Arial" w:cs="Arial"/>
                <w:sz w:val="18"/>
                <w:szCs w:val="18"/>
                <w:lang w:val="en-US"/>
              </w:rPr>
              <w:t>C</w:t>
            </w:r>
          </w:p>
        </w:tc>
        <w:tc>
          <w:tcPr>
            <w:tcW w:w="1341" w:type="dxa"/>
          </w:tcPr>
          <w:p w14:paraId="085063FF" w14:textId="3133DC47" w:rsidR="0028142E" w:rsidRPr="00AB47B7" w:rsidRDefault="0028142E" w:rsidP="00D55493">
            <w:pPr>
              <w:keepNext/>
              <w:keepLines/>
              <w:jc w:val="center"/>
              <w:rPr>
                <w:rFonts w:ascii="Arial" w:hAnsi="Arial" w:cs="Arial"/>
                <w:sz w:val="18"/>
                <w:szCs w:val="18"/>
                <w:lang w:val="en-US"/>
              </w:rPr>
            </w:pPr>
            <w:r>
              <w:rPr>
                <w:rFonts w:ascii="Arial" w:hAnsi="Arial" w:cs="Arial"/>
                <w:sz w:val="18"/>
                <w:szCs w:val="18"/>
                <w:lang w:val="en-US"/>
              </w:rPr>
              <w:t>F</w:t>
            </w:r>
          </w:p>
        </w:tc>
      </w:tr>
    </w:tbl>
    <w:p w14:paraId="3DA50B5A" w14:textId="77777777" w:rsidR="0041695E" w:rsidRDefault="0041695E" w:rsidP="00F67ED1">
      <w:pPr>
        <w:jc w:val="both"/>
        <w:rPr>
          <w:lang w:val="en-US"/>
        </w:rPr>
      </w:pPr>
    </w:p>
    <w:p w14:paraId="63969F3C" w14:textId="1D2D0781" w:rsidR="004C2A46" w:rsidRDefault="00605E92" w:rsidP="00F67ED1">
      <w:pPr>
        <w:jc w:val="both"/>
        <w:rPr>
          <w:lang w:val="en-US"/>
        </w:rPr>
      </w:pPr>
      <w:r>
        <w:rPr>
          <w:lang w:val="en-US"/>
        </w:rPr>
        <w:t xml:space="preserve">The three new reports (i.e., </w:t>
      </w:r>
      <w:r>
        <w:rPr>
          <w:highlight w:val="yellow"/>
        </w:rPr>
        <w:t>candidateRep-M</w:t>
      </w:r>
      <w:r>
        <w:t xml:space="preserve">, </w:t>
      </w:r>
      <w:r>
        <w:rPr>
          <w:highlight w:val="yellow"/>
        </w:rPr>
        <w:t>candidateRep</w:t>
      </w:r>
      <w:r w:rsidRPr="000A5449">
        <w:rPr>
          <w:highlight w:val="yellow"/>
        </w:rPr>
        <w:t>-N</w:t>
      </w:r>
      <w:r>
        <w:t xml:space="preserve">, and </w:t>
      </w:r>
      <w:r>
        <w:rPr>
          <w:highlight w:val="yellow"/>
        </w:rPr>
        <w:t>candidateRep-</w:t>
      </w:r>
      <w:r w:rsidRPr="000A5449">
        <w:rPr>
          <w:highlight w:val="yellow"/>
        </w:rPr>
        <w:t>O</w:t>
      </w:r>
      <w:r>
        <w:rPr>
          <w:lang w:val="en-US"/>
        </w:rPr>
        <w:t>) proposed to be used for 16-QAM, use as metric TBS indices to reflect the channel conditions</w:t>
      </w:r>
      <w:r w:rsidR="00964BE3">
        <w:rPr>
          <w:lang w:val="en-US"/>
        </w:rPr>
        <w:t xml:space="preserve"> (i.e., The report suggests the I</w:t>
      </w:r>
      <w:r w:rsidR="00964BE3" w:rsidRPr="00964BE3">
        <w:rPr>
          <w:vertAlign w:val="subscript"/>
          <w:lang w:val="en-US"/>
        </w:rPr>
        <w:t>TBS</w:t>
      </w:r>
      <w:r w:rsidR="00964BE3">
        <w:rPr>
          <w:lang w:val="en-US"/>
        </w:rPr>
        <w:t xml:space="preserve"> indices that are suitable to be used as a function of the channel conditions)</w:t>
      </w:r>
      <w:r>
        <w:rPr>
          <w:lang w:val="en-US"/>
        </w:rPr>
        <w:t xml:space="preserve">. The TBS indices </w:t>
      </w:r>
      <w:r w:rsidR="00BD0278">
        <w:rPr>
          <w:lang w:val="en-US"/>
        </w:rPr>
        <w:t>(i.e., I</w:t>
      </w:r>
      <w:r w:rsidR="00BD0278" w:rsidRPr="00BD0278">
        <w:rPr>
          <w:vertAlign w:val="subscript"/>
          <w:lang w:val="en-US"/>
        </w:rPr>
        <w:t>TBS</w:t>
      </w:r>
      <w:r w:rsidR="00BD0278">
        <w:rPr>
          <w:lang w:val="en-US"/>
        </w:rPr>
        <w:t xml:space="preserve"> =A, I</w:t>
      </w:r>
      <w:r w:rsidR="00BD0278" w:rsidRPr="00BD0278">
        <w:rPr>
          <w:vertAlign w:val="subscript"/>
          <w:lang w:val="en-US"/>
        </w:rPr>
        <w:t>TBS</w:t>
      </w:r>
      <w:r w:rsidR="00BD0278">
        <w:rPr>
          <w:lang w:val="en-US"/>
        </w:rPr>
        <w:t xml:space="preserve"> =B, </w:t>
      </w:r>
      <w:r w:rsidR="001D18CE">
        <w:rPr>
          <w:lang w:val="en-US"/>
        </w:rPr>
        <w:t>I</w:t>
      </w:r>
      <w:r w:rsidR="001D18CE" w:rsidRPr="00BD0278">
        <w:rPr>
          <w:vertAlign w:val="subscript"/>
          <w:lang w:val="en-US"/>
        </w:rPr>
        <w:t>TBS</w:t>
      </w:r>
      <w:r w:rsidR="001D18CE">
        <w:rPr>
          <w:lang w:val="en-US"/>
        </w:rPr>
        <w:t xml:space="preserve"> =C, </w:t>
      </w:r>
      <w:r w:rsidR="004C2A46">
        <w:rPr>
          <w:lang w:val="en-US"/>
        </w:rPr>
        <w:t>I</w:t>
      </w:r>
      <w:r w:rsidR="004C2A46" w:rsidRPr="00BD0278">
        <w:rPr>
          <w:vertAlign w:val="subscript"/>
          <w:lang w:val="en-US"/>
        </w:rPr>
        <w:t>TBS</w:t>
      </w:r>
      <w:r w:rsidR="004C2A46">
        <w:rPr>
          <w:lang w:val="en-US"/>
        </w:rPr>
        <w:t xml:space="preserve"> =D, I</w:t>
      </w:r>
      <w:r w:rsidR="004C2A46" w:rsidRPr="00BD0278">
        <w:rPr>
          <w:vertAlign w:val="subscript"/>
          <w:lang w:val="en-US"/>
        </w:rPr>
        <w:t>TBS</w:t>
      </w:r>
      <w:r w:rsidR="004C2A46">
        <w:rPr>
          <w:lang w:val="en-US"/>
        </w:rPr>
        <w:t xml:space="preserve"> =E, </w:t>
      </w:r>
      <w:r w:rsidR="00BD0278">
        <w:rPr>
          <w:lang w:val="en-US"/>
        </w:rPr>
        <w:t>and I</w:t>
      </w:r>
      <w:r w:rsidR="00BD0278" w:rsidRPr="00BD0278">
        <w:rPr>
          <w:vertAlign w:val="subscript"/>
          <w:lang w:val="en-US"/>
        </w:rPr>
        <w:t>TBS</w:t>
      </w:r>
      <w:r w:rsidR="00BD0278">
        <w:rPr>
          <w:lang w:val="en-US"/>
        </w:rPr>
        <w:t xml:space="preserve"> =</w:t>
      </w:r>
      <w:r w:rsidR="004C2A46">
        <w:rPr>
          <w:lang w:val="en-US"/>
        </w:rPr>
        <w:t>F</w:t>
      </w:r>
      <w:r w:rsidR="00BD0278">
        <w:rPr>
          <w:lang w:val="en-US"/>
        </w:rPr>
        <w:t xml:space="preserve">) </w:t>
      </w:r>
      <w:r>
        <w:rPr>
          <w:lang w:val="en-US"/>
        </w:rPr>
        <w:t xml:space="preserve">associated to the reports M, N, and O </w:t>
      </w:r>
      <w:r w:rsidR="00BD0278">
        <w:rPr>
          <w:lang w:val="en-US"/>
        </w:rPr>
        <w:t xml:space="preserve">respectively, </w:t>
      </w:r>
      <w:r>
        <w:rPr>
          <w:lang w:val="en-US"/>
        </w:rPr>
        <w:t>depend on t</w:t>
      </w:r>
      <w:r w:rsidR="00964BE3">
        <w:rPr>
          <w:lang w:val="en-US"/>
        </w:rPr>
        <w:t>he</w:t>
      </w:r>
      <w:r w:rsidR="00BD0278">
        <w:rPr>
          <w:lang w:val="en-US"/>
        </w:rPr>
        <w:t xml:space="preserve"> </w:t>
      </w:r>
      <w:r>
        <w:rPr>
          <w:lang w:val="en-US"/>
        </w:rPr>
        <w:t xml:space="preserve">TBS/MCS table </w:t>
      </w:r>
      <w:r w:rsidR="00A0633D">
        <w:rPr>
          <w:lang w:val="en-US"/>
        </w:rPr>
        <w:t xml:space="preserve">for which </w:t>
      </w:r>
      <w:r>
        <w:rPr>
          <w:lang w:val="en-US"/>
        </w:rPr>
        <w:t xml:space="preserve">the TBS indices are different </w:t>
      </w:r>
      <w:r w:rsidR="007053D9">
        <w:rPr>
          <w:lang w:val="en-US"/>
        </w:rPr>
        <w:t>between</w:t>
      </w:r>
      <w:r>
        <w:rPr>
          <w:lang w:val="en-US"/>
        </w:rPr>
        <w:t xml:space="preserve"> the </w:t>
      </w:r>
      <w:r w:rsidR="007053D9">
        <w:rPr>
          <w:lang w:val="en-US"/>
        </w:rPr>
        <w:t>guard-band/stand-alone deployment</w:t>
      </w:r>
      <w:r w:rsidR="00202094">
        <w:rPr>
          <w:lang w:val="en-US"/>
        </w:rPr>
        <w:t>s</w:t>
      </w:r>
      <w:r w:rsidR="007053D9">
        <w:rPr>
          <w:lang w:val="en-US"/>
        </w:rPr>
        <w:t xml:space="preserve"> and</w:t>
      </w:r>
      <w:r w:rsidR="00F623E7">
        <w:rPr>
          <w:lang w:val="en-US"/>
        </w:rPr>
        <w:t xml:space="preserve"> the</w:t>
      </w:r>
      <w:r w:rsidR="007053D9">
        <w:rPr>
          <w:lang w:val="en-US"/>
        </w:rPr>
        <w:t xml:space="preserve"> </w:t>
      </w:r>
      <w:r>
        <w:rPr>
          <w:lang w:val="en-US"/>
        </w:rPr>
        <w:t>in-band deployment</w:t>
      </w:r>
      <w:r w:rsidR="007053D9">
        <w:rPr>
          <w:lang w:val="en-US"/>
        </w:rPr>
        <w:t xml:space="preserve"> due to the effective coding rates.</w:t>
      </w:r>
    </w:p>
    <w:p w14:paraId="5F6AE3AD" w14:textId="5BF92138" w:rsidR="00964BE3" w:rsidRDefault="000D0D55" w:rsidP="00F67ED1">
      <w:pPr>
        <w:jc w:val="both"/>
        <w:rPr>
          <w:lang w:val="en-US"/>
        </w:rPr>
      </w:pPr>
      <w:r>
        <w:rPr>
          <w:lang w:val="en-US"/>
        </w:rPr>
        <w:t>T</w:t>
      </w:r>
      <w:r w:rsidRPr="000D0D55">
        <w:rPr>
          <w:lang w:val="en-US"/>
        </w:rPr>
        <w:t>he</w:t>
      </w:r>
      <w:r>
        <w:rPr>
          <w:lang w:val="en-US"/>
        </w:rPr>
        <w:t xml:space="preserve"> intention is to cover the</w:t>
      </w:r>
      <w:r w:rsidRPr="000D0D55">
        <w:rPr>
          <w:lang w:val="en-US"/>
        </w:rPr>
        <w:t xml:space="preserve"> full range of I</w:t>
      </w:r>
      <w:r w:rsidRPr="00BD389B">
        <w:rPr>
          <w:vertAlign w:val="subscript"/>
          <w:lang w:val="en-US"/>
        </w:rPr>
        <w:t>TBS</w:t>
      </w:r>
      <w:r w:rsidRPr="000D0D55">
        <w:rPr>
          <w:lang w:val="en-US"/>
        </w:rPr>
        <w:t xml:space="preserve"> indices (14 to 21 and 11 to 17 depending on the deployment mode) using only three candidate reports (i.e., candidateRep-M, candidateRep-N, or candidateRep-O)</w:t>
      </w:r>
      <w:r w:rsidR="00964BE3">
        <w:rPr>
          <w:lang w:val="en-US"/>
        </w:rPr>
        <w:t xml:space="preserve">, the reason why we consider </w:t>
      </w:r>
      <w:r w:rsidR="00FB02D6">
        <w:rPr>
          <w:lang w:val="en-US"/>
        </w:rPr>
        <w:t xml:space="preserve">that </w:t>
      </w:r>
      <w:r w:rsidR="00964BE3">
        <w:rPr>
          <w:lang w:val="en-US"/>
        </w:rPr>
        <w:t>three new reports are sufficient to cover the whole set of I</w:t>
      </w:r>
      <w:r w:rsidR="00964BE3" w:rsidRPr="00964BE3">
        <w:rPr>
          <w:vertAlign w:val="subscript"/>
          <w:lang w:val="en-US"/>
        </w:rPr>
        <w:t>TBS</w:t>
      </w:r>
      <w:r w:rsidR="00964BE3">
        <w:rPr>
          <w:lang w:val="en-US"/>
        </w:rPr>
        <w:t xml:space="preserve"> indices used for 16-QAM has to do with the step-size between I</w:t>
      </w:r>
      <w:r w:rsidR="00964BE3" w:rsidRPr="00964BE3">
        <w:rPr>
          <w:vertAlign w:val="subscript"/>
          <w:lang w:val="en-US"/>
        </w:rPr>
        <w:t>TBS</w:t>
      </w:r>
      <w:r w:rsidR="00964BE3">
        <w:rPr>
          <w:lang w:val="en-US"/>
        </w:rPr>
        <w:t xml:space="preserve"> indices:</w:t>
      </w:r>
    </w:p>
    <w:p w14:paraId="54FF8C71" w14:textId="1BE03B0A" w:rsidR="00964BE3" w:rsidRDefault="004D2CEC" w:rsidP="00247762">
      <w:pPr>
        <w:pStyle w:val="ListParagraph"/>
        <w:numPr>
          <w:ilvl w:val="0"/>
          <w:numId w:val="24"/>
        </w:numPr>
        <w:jc w:val="both"/>
        <w:rPr>
          <w:rFonts w:ascii="Times New Roman" w:eastAsia="SimSun" w:hAnsi="Times New Roman"/>
          <w:sz w:val="20"/>
          <w:szCs w:val="20"/>
          <w:lang w:val="en-US" w:eastAsia="ja-JP"/>
        </w:rPr>
      </w:pPr>
      <w:r w:rsidRPr="004D2CEC">
        <w:rPr>
          <w:rFonts w:ascii="Times New Roman" w:eastAsia="SimSun" w:hAnsi="Times New Roman"/>
          <w:sz w:val="20"/>
          <w:szCs w:val="20"/>
          <w:lang w:val="en-US" w:eastAsia="ja-JP"/>
        </w:rPr>
        <w:t>Stand-alone and Guard-band deployments:</w:t>
      </w:r>
    </w:p>
    <w:p w14:paraId="04459F44" w14:textId="77777777" w:rsidR="004D2CEC" w:rsidRDefault="004D2CEC" w:rsidP="004D2CEC">
      <w:pPr>
        <w:pStyle w:val="ListParagraph"/>
        <w:jc w:val="both"/>
        <w:rPr>
          <w:rFonts w:ascii="Times New Roman" w:eastAsia="SimSun" w:hAnsi="Times New Roman"/>
          <w:sz w:val="20"/>
          <w:szCs w:val="20"/>
          <w:lang w:val="en-US" w:eastAsia="ja-JP"/>
        </w:rPr>
      </w:pPr>
    </w:p>
    <w:p w14:paraId="56522CDD" w14:textId="4A928AFC" w:rsidR="004D2CEC" w:rsidRPr="004D2CEC" w:rsidRDefault="004D2CEC" w:rsidP="00247762">
      <w:pPr>
        <w:pStyle w:val="ListParagraph"/>
        <w:numPr>
          <w:ilvl w:val="1"/>
          <w:numId w:val="24"/>
        </w:numPr>
        <w:overflowPunct/>
        <w:autoSpaceDE/>
        <w:autoSpaceDN/>
        <w:adjustRightInd/>
        <w:textAlignment w:val="auto"/>
        <w:rPr>
          <w:rFonts w:ascii="Times New Roman" w:hAnsi="Times New Roman"/>
          <w:sz w:val="20"/>
          <w:szCs w:val="20"/>
          <w:lang w:val="en-US" w:eastAsia="sv-SE"/>
        </w:rPr>
      </w:pPr>
      <w:r w:rsidRPr="004D2CEC">
        <w:rPr>
          <w:rFonts w:ascii="Times New Roman" w:hAnsi="Times New Roman"/>
          <w:sz w:val="20"/>
          <w:szCs w:val="20"/>
          <w:lang w:val="en-US"/>
        </w:rPr>
        <w:t>I</w:t>
      </w:r>
      <w:r w:rsidRPr="004D2CEC">
        <w:rPr>
          <w:rFonts w:ascii="Times New Roman" w:hAnsi="Times New Roman"/>
          <w:sz w:val="20"/>
          <w:szCs w:val="20"/>
          <w:vertAlign w:val="subscript"/>
          <w:lang w:val="en-US"/>
        </w:rPr>
        <w:t>TBS15</w:t>
      </w:r>
      <w:r w:rsidRPr="004D2CEC">
        <w:rPr>
          <w:rFonts w:ascii="Times New Roman" w:hAnsi="Times New Roman"/>
          <w:sz w:val="20"/>
          <w:szCs w:val="20"/>
          <w:lang w:val="en-US"/>
        </w:rPr>
        <w:t>-I</w:t>
      </w:r>
      <w:r w:rsidRPr="004D2CEC">
        <w:rPr>
          <w:rFonts w:ascii="Times New Roman" w:hAnsi="Times New Roman"/>
          <w:sz w:val="20"/>
          <w:szCs w:val="20"/>
          <w:vertAlign w:val="subscript"/>
          <w:lang w:val="en-US"/>
        </w:rPr>
        <w:t>TBS14</w:t>
      </w:r>
      <w:r w:rsidRPr="004D2CEC">
        <w:rPr>
          <w:rFonts w:ascii="Times New Roman" w:hAnsi="Times New Roman"/>
          <w:sz w:val="20"/>
          <w:szCs w:val="20"/>
          <w:lang w:val="en-US"/>
        </w:rPr>
        <w:t xml:space="preserve"> = 0.45</w:t>
      </w:r>
      <w:r>
        <w:rPr>
          <w:rFonts w:ascii="Times New Roman" w:hAnsi="Times New Roman"/>
          <w:sz w:val="20"/>
          <w:szCs w:val="20"/>
          <w:lang w:val="en-US"/>
        </w:rPr>
        <w:t xml:space="preserve"> dB</w:t>
      </w:r>
      <w:r w:rsidRPr="004D2CEC">
        <w:rPr>
          <w:rFonts w:ascii="Times New Roman" w:hAnsi="Times New Roman"/>
          <w:sz w:val="20"/>
          <w:szCs w:val="20"/>
          <w:lang w:val="en-US"/>
        </w:rPr>
        <w:t>, I</w:t>
      </w:r>
      <w:r w:rsidRPr="004D2CEC">
        <w:rPr>
          <w:rFonts w:ascii="Times New Roman" w:hAnsi="Times New Roman"/>
          <w:sz w:val="20"/>
          <w:szCs w:val="20"/>
          <w:vertAlign w:val="subscript"/>
          <w:lang w:val="en-US"/>
        </w:rPr>
        <w:t>TBS16</w:t>
      </w:r>
      <w:r w:rsidRPr="004D2CEC">
        <w:rPr>
          <w:rFonts w:ascii="Times New Roman" w:hAnsi="Times New Roman"/>
          <w:sz w:val="20"/>
          <w:szCs w:val="20"/>
          <w:lang w:val="en-US"/>
        </w:rPr>
        <w:t>-I</w:t>
      </w:r>
      <w:r w:rsidRPr="004D2CEC">
        <w:rPr>
          <w:rFonts w:ascii="Times New Roman" w:hAnsi="Times New Roman"/>
          <w:sz w:val="20"/>
          <w:szCs w:val="20"/>
          <w:vertAlign w:val="subscript"/>
          <w:lang w:val="en-US"/>
        </w:rPr>
        <w:t>TBS15</w:t>
      </w:r>
      <w:r w:rsidRPr="004D2CEC">
        <w:rPr>
          <w:rFonts w:ascii="Times New Roman" w:hAnsi="Times New Roman"/>
          <w:sz w:val="20"/>
          <w:szCs w:val="20"/>
          <w:lang w:val="en-US"/>
        </w:rPr>
        <w:t xml:space="preserve"> =</w:t>
      </w:r>
      <w:r>
        <w:rPr>
          <w:rFonts w:ascii="Times New Roman" w:hAnsi="Times New Roman"/>
          <w:sz w:val="20"/>
          <w:szCs w:val="20"/>
          <w:lang w:val="en-US"/>
        </w:rPr>
        <w:t xml:space="preserve"> </w:t>
      </w:r>
      <w:r w:rsidRPr="004D2CEC">
        <w:rPr>
          <w:rFonts w:ascii="Times New Roman" w:hAnsi="Times New Roman"/>
          <w:sz w:val="20"/>
          <w:szCs w:val="20"/>
          <w:lang w:val="en-US"/>
        </w:rPr>
        <w:t>0.4462</w:t>
      </w:r>
      <w:r>
        <w:rPr>
          <w:rFonts w:ascii="Times New Roman" w:hAnsi="Times New Roman"/>
          <w:sz w:val="20"/>
          <w:szCs w:val="20"/>
          <w:lang w:val="en-US"/>
        </w:rPr>
        <w:t xml:space="preserve"> dB</w:t>
      </w:r>
      <w:r w:rsidRPr="004D2CEC">
        <w:rPr>
          <w:rFonts w:ascii="Times New Roman" w:hAnsi="Times New Roman"/>
          <w:sz w:val="20"/>
          <w:szCs w:val="20"/>
          <w:lang w:val="en-US"/>
        </w:rPr>
        <w:t>, I</w:t>
      </w:r>
      <w:r w:rsidRPr="004D2CEC">
        <w:rPr>
          <w:rFonts w:ascii="Times New Roman" w:hAnsi="Times New Roman"/>
          <w:sz w:val="20"/>
          <w:szCs w:val="20"/>
          <w:vertAlign w:val="subscript"/>
          <w:lang w:val="en-US"/>
        </w:rPr>
        <w:t>TBS17</w:t>
      </w:r>
      <w:r w:rsidRPr="004D2CEC">
        <w:rPr>
          <w:rFonts w:ascii="Times New Roman" w:hAnsi="Times New Roman"/>
          <w:sz w:val="20"/>
          <w:szCs w:val="20"/>
          <w:lang w:val="en-US"/>
        </w:rPr>
        <w:t>-I</w:t>
      </w:r>
      <w:r w:rsidRPr="004D2CEC">
        <w:rPr>
          <w:rFonts w:ascii="Times New Roman" w:hAnsi="Times New Roman"/>
          <w:sz w:val="20"/>
          <w:szCs w:val="20"/>
          <w:vertAlign w:val="subscript"/>
          <w:lang w:val="en-US"/>
        </w:rPr>
        <w:t>TBS16</w:t>
      </w:r>
      <w:r w:rsidRPr="004D2CEC">
        <w:rPr>
          <w:rFonts w:ascii="Times New Roman" w:hAnsi="Times New Roman"/>
          <w:sz w:val="20"/>
          <w:szCs w:val="20"/>
          <w:lang w:val="en-US"/>
        </w:rPr>
        <w:t xml:space="preserve"> =</w:t>
      </w:r>
      <w:r>
        <w:rPr>
          <w:rFonts w:ascii="Times New Roman" w:hAnsi="Times New Roman"/>
          <w:sz w:val="20"/>
          <w:szCs w:val="20"/>
          <w:lang w:val="en-US"/>
        </w:rPr>
        <w:t xml:space="preserve"> </w:t>
      </w:r>
      <w:r w:rsidRPr="004D2CEC">
        <w:rPr>
          <w:rFonts w:ascii="Times New Roman" w:hAnsi="Times New Roman"/>
          <w:sz w:val="20"/>
          <w:szCs w:val="20"/>
          <w:lang w:val="en-US"/>
        </w:rPr>
        <w:t>0.7400</w:t>
      </w:r>
      <w:r>
        <w:rPr>
          <w:rFonts w:ascii="Times New Roman" w:hAnsi="Times New Roman"/>
          <w:sz w:val="20"/>
          <w:szCs w:val="20"/>
          <w:lang w:val="en-US"/>
        </w:rPr>
        <w:t xml:space="preserve"> dB</w:t>
      </w:r>
      <w:r w:rsidRPr="004D2CEC">
        <w:rPr>
          <w:rFonts w:ascii="Times New Roman" w:hAnsi="Times New Roman"/>
          <w:sz w:val="20"/>
          <w:szCs w:val="20"/>
          <w:lang w:val="en-US"/>
        </w:rPr>
        <w:t>, I</w:t>
      </w:r>
      <w:r w:rsidRPr="004D2CEC">
        <w:rPr>
          <w:rFonts w:ascii="Times New Roman" w:hAnsi="Times New Roman"/>
          <w:sz w:val="20"/>
          <w:szCs w:val="20"/>
          <w:vertAlign w:val="subscript"/>
          <w:lang w:val="en-US"/>
        </w:rPr>
        <w:t>TBS18</w:t>
      </w:r>
      <w:r w:rsidRPr="004D2CEC">
        <w:rPr>
          <w:rFonts w:ascii="Times New Roman" w:hAnsi="Times New Roman"/>
          <w:sz w:val="20"/>
          <w:szCs w:val="20"/>
          <w:lang w:val="en-US"/>
        </w:rPr>
        <w:t>-I</w:t>
      </w:r>
      <w:r w:rsidRPr="004D2CEC">
        <w:rPr>
          <w:rFonts w:ascii="Times New Roman" w:hAnsi="Times New Roman"/>
          <w:sz w:val="20"/>
          <w:szCs w:val="20"/>
          <w:vertAlign w:val="subscript"/>
          <w:lang w:val="en-US"/>
        </w:rPr>
        <w:t>TBS17</w:t>
      </w:r>
      <w:r w:rsidRPr="004D2CEC">
        <w:rPr>
          <w:rFonts w:ascii="Times New Roman" w:hAnsi="Times New Roman"/>
          <w:sz w:val="20"/>
          <w:szCs w:val="20"/>
          <w:lang w:val="en-US"/>
        </w:rPr>
        <w:t xml:space="preserve"> =</w:t>
      </w:r>
      <w:r>
        <w:rPr>
          <w:rFonts w:ascii="Times New Roman" w:hAnsi="Times New Roman"/>
          <w:sz w:val="20"/>
          <w:szCs w:val="20"/>
          <w:lang w:val="en-US"/>
        </w:rPr>
        <w:t xml:space="preserve"> </w:t>
      </w:r>
      <w:r w:rsidRPr="004D2CEC">
        <w:rPr>
          <w:rFonts w:ascii="Times New Roman" w:hAnsi="Times New Roman"/>
          <w:sz w:val="20"/>
          <w:szCs w:val="20"/>
          <w:lang w:val="en-US"/>
        </w:rPr>
        <w:t>0.7637</w:t>
      </w:r>
      <w:r>
        <w:rPr>
          <w:rFonts w:ascii="Times New Roman" w:hAnsi="Times New Roman"/>
          <w:sz w:val="20"/>
          <w:szCs w:val="20"/>
          <w:lang w:val="en-US"/>
        </w:rPr>
        <w:t xml:space="preserve"> dB</w:t>
      </w:r>
      <w:r w:rsidRPr="004D2CEC">
        <w:rPr>
          <w:rFonts w:ascii="Times New Roman" w:hAnsi="Times New Roman"/>
          <w:sz w:val="20"/>
          <w:szCs w:val="20"/>
          <w:lang w:val="en-US"/>
        </w:rPr>
        <w:t>, I</w:t>
      </w:r>
      <w:r w:rsidRPr="004D2CEC">
        <w:rPr>
          <w:rFonts w:ascii="Times New Roman" w:hAnsi="Times New Roman"/>
          <w:sz w:val="20"/>
          <w:szCs w:val="20"/>
          <w:vertAlign w:val="subscript"/>
          <w:lang w:val="en-US"/>
        </w:rPr>
        <w:t>TBS19</w:t>
      </w:r>
      <w:r w:rsidRPr="004D2CEC">
        <w:rPr>
          <w:rFonts w:ascii="Times New Roman" w:hAnsi="Times New Roman"/>
          <w:sz w:val="20"/>
          <w:szCs w:val="20"/>
          <w:lang w:val="en-US"/>
        </w:rPr>
        <w:t>-I</w:t>
      </w:r>
      <w:r w:rsidRPr="004D2CEC">
        <w:rPr>
          <w:rFonts w:ascii="Times New Roman" w:hAnsi="Times New Roman"/>
          <w:sz w:val="20"/>
          <w:szCs w:val="20"/>
          <w:vertAlign w:val="subscript"/>
          <w:lang w:val="en-US"/>
        </w:rPr>
        <w:t>TBS18</w:t>
      </w:r>
      <w:r w:rsidRPr="004D2CEC">
        <w:rPr>
          <w:rFonts w:ascii="Times New Roman" w:hAnsi="Times New Roman"/>
          <w:sz w:val="20"/>
          <w:szCs w:val="20"/>
          <w:lang w:val="en-US"/>
        </w:rPr>
        <w:t xml:space="preserve"> =</w:t>
      </w:r>
      <w:r>
        <w:rPr>
          <w:rFonts w:ascii="Times New Roman" w:hAnsi="Times New Roman"/>
          <w:sz w:val="20"/>
          <w:szCs w:val="20"/>
          <w:lang w:val="en-US"/>
        </w:rPr>
        <w:t xml:space="preserve"> </w:t>
      </w:r>
      <w:r w:rsidRPr="004D2CEC">
        <w:rPr>
          <w:rFonts w:ascii="Times New Roman" w:hAnsi="Times New Roman"/>
          <w:sz w:val="20"/>
          <w:szCs w:val="20"/>
          <w:lang w:val="en-US"/>
        </w:rPr>
        <w:t>0.9388</w:t>
      </w:r>
      <w:r>
        <w:rPr>
          <w:rFonts w:ascii="Times New Roman" w:hAnsi="Times New Roman"/>
          <w:sz w:val="20"/>
          <w:szCs w:val="20"/>
          <w:lang w:val="en-US"/>
        </w:rPr>
        <w:t xml:space="preserve"> dB</w:t>
      </w:r>
      <w:r w:rsidRPr="004D2CEC">
        <w:rPr>
          <w:rFonts w:ascii="Times New Roman" w:hAnsi="Times New Roman"/>
          <w:sz w:val="20"/>
          <w:szCs w:val="20"/>
          <w:lang w:val="en-US"/>
        </w:rPr>
        <w:t>, I</w:t>
      </w:r>
      <w:r w:rsidRPr="004D2CEC">
        <w:rPr>
          <w:rFonts w:ascii="Times New Roman" w:hAnsi="Times New Roman"/>
          <w:sz w:val="20"/>
          <w:szCs w:val="20"/>
          <w:vertAlign w:val="subscript"/>
          <w:lang w:val="en-US"/>
        </w:rPr>
        <w:t>TBS20</w:t>
      </w:r>
      <w:r w:rsidRPr="004D2CEC">
        <w:rPr>
          <w:rFonts w:ascii="Times New Roman" w:hAnsi="Times New Roman"/>
          <w:sz w:val="20"/>
          <w:szCs w:val="20"/>
          <w:lang w:val="en-US"/>
        </w:rPr>
        <w:t>-I</w:t>
      </w:r>
      <w:r w:rsidRPr="004D2CEC">
        <w:rPr>
          <w:rFonts w:ascii="Times New Roman" w:hAnsi="Times New Roman"/>
          <w:sz w:val="20"/>
          <w:szCs w:val="20"/>
          <w:vertAlign w:val="subscript"/>
          <w:lang w:val="en-US"/>
        </w:rPr>
        <w:t>TBS19</w:t>
      </w:r>
      <w:r w:rsidRPr="004D2CEC">
        <w:rPr>
          <w:rFonts w:ascii="Times New Roman" w:hAnsi="Times New Roman"/>
          <w:sz w:val="20"/>
          <w:szCs w:val="20"/>
          <w:lang w:val="en-US"/>
        </w:rPr>
        <w:t xml:space="preserve"> =</w:t>
      </w:r>
      <w:r>
        <w:rPr>
          <w:rFonts w:ascii="Times New Roman" w:hAnsi="Times New Roman"/>
          <w:sz w:val="20"/>
          <w:szCs w:val="20"/>
          <w:lang w:val="en-US"/>
        </w:rPr>
        <w:t xml:space="preserve"> </w:t>
      </w:r>
      <w:r w:rsidRPr="004D2CEC">
        <w:rPr>
          <w:rFonts w:ascii="Times New Roman" w:hAnsi="Times New Roman"/>
          <w:sz w:val="20"/>
          <w:szCs w:val="20"/>
          <w:lang w:val="en-US"/>
        </w:rPr>
        <w:t>1.0112</w:t>
      </w:r>
      <w:r>
        <w:rPr>
          <w:rFonts w:ascii="Times New Roman" w:hAnsi="Times New Roman"/>
          <w:sz w:val="20"/>
          <w:szCs w:val="20"/>
          <w:lang w:val="en-US"/>
        </w:rPr>
        <w:t xml:space="preserve"> dB</w:t>
      </w:r>
      <w:r w:rsidRPr="004D2CEC">
        <w:rPr>
          <w:rFonts w:ascii="Times New Roman" w:hAnsi="Times New Roman"/>
          <w:sz w:val="20"/>
          <w:szCs w:val="20"/>
          <w:lang w:val="en-US"/>
        </w:rPr>
        <w:t>, I</w:t>
      </w:r>
      <w:r w:rsidRPr="004D2CEC">
        <w:rPr>
          <w:rFonts w:ascii="Times New Roman" w:hAnsi="Times New Roman"/>
          <w:sz w:val="20"/>
          <w:szCs w:val="20"/>
          <w:vertAlign w:val="subscript"/>
          <w:lang w:val="en-US"/>
        </w:rPr>
        <w:t>TBS21</w:t>
      </w:r>
      <w:r w:rsidRPr="004D2CEC">
        <w:rPr>
          <w:rFonts w:ascii="Times New Roman" w:hAnsi="Times New Roman"/>
          <w:sz w:val="20"/>
          <w:szCs w:val="20"/>
          <w:lang w:val="en-US"/>
        </w:rPr>
        <w:t>-I</w:t>
      </w:r>
      <w:r w:rsidRPr="004D2CEC">
        <w:rPr>
          <w:rFonts w:ascii="Times New Roman" w:hAnsi="Times New Roman"/>
          <w:sz w:val="20"/>
          <w:szCs w:val="20"/>
          <w:vertAlign w:val="subscript"/>
          <w:lang w:val="en-US"/>
        </w:rPr>
        <w:t>TBS20</w:t>
      </w:r>
      <w:r w:rsidRPr="004D2CEC">
        <w:rPr>
          <w:rFonts w:ascii="Times New Roman" w:hAnsi="Times New Roman"/>
          <w:sz w:val="20"/>
          <w:szCs w:val="20"/>
          <w:lang w:val="en-US"/>
        </w:rPr>
        <w:t xml:space="preserve"> =</w:t>
      </w:r>
      <w:r>
        <w:rPr>
          <w:rFonts w:ascii="Times New Roman" w:hAnsi="Times New Roman"/>
          <w:sz w:val="20"/>
          <w:szCs w:val="20"/>
          <w:lang w:val="en-US"/>
        </w:rPr>
        <w:t xml:space="preserve"> </w:t>
      </w:r>
      <w:r w:rsidRPr="004D2CEC">
        <w:rPr>
          <w:rFonts w:ascii="Times New Roman" w:hAnsi="Times New Roman"/>
          <w:sz w:val="20"/>
          <w:szCs w:val="20"/>
          <w:lang w:val="en-US"/>
        </w:rPr>
        <w:t>1.43</w:t>
      </w:r>
      <w:r>
        <w:rPr>
          <w:rFonts w:ascii="Times New Roman" w:hAnsi="Times New Roman"/>
          <w:sz w:val="20"/>
          <w:szCs w:val="20"/>
          <w:lang w:val="en-US"/>
        </w:rPr>
        <w:t xml:space="preserve"> dB.</w:t>
      </w:r>
    </w:p>
    <w:p w14:paraId="56081492" w14:textId="77777777" w:rsidR="004D2CEC" w:rsidRPr="004D2CEC" w:rsidRDefault="004D2CEC" w:rsidP="004D2CEC">
      <w:pPr>
        <w:pStyle w:val="ListParagraph"/>
        <w:ind w:left="1440"/>
        <w:jc w:val="both"/>
        <w:rPr>
          <w:rFonts w:ascii="Times New Roman" w:eastAsia="SimSun" w:hAnsi="Times New Roman"/>
          <w:sz w:val="20"/>
          <w:szCs w:val="20"/>
          <w:lang w:val="en-US" w:eastAsia="ja-JP"/>
        </w:rPr>
      </w:pPr>
    </w:p>
    <w:p w14:paraId="23DCC8F5" w14:textId="72EAD2A4" w:rsidR="00964BE3" w:rsidRDefault="004D2CEC" w:rsidP="00247762">
      <w:pPr>
        <w:pStyle w:val="ListParagraph"/>
        <w:numPr>
          <w:ilvl w:val="0"/>
          <w:numId w:val="24"/>
        </w:numPr>
        <w:jc w:val="both"/>
        <w:rPr>
          <w:rFonts w:ascii="Times New Roman" w:eastAsia="SimSun" w:hAnsi="Times New Roman"/>
          <w:sz w:val="20"/>
          <w:szCs w:val="20"/>
          <w:lang w:val="en-US" w:eastAsia="ja-JP"/>
        </w:rPr>
      </w:pPr>
      <w:r w:rsidRPr="004D2CEC">
        <w:rPr>
          <w:rFonts w:ascii="Times New Roman" w:eastAsia="SimSun" w:hAnsi="Times New Roman"/>
          <w:sz w:val="20"/>
          <w:szCs w:val="20"/>
          <w:lang w:val="en-US" w:eastAsia="ja-JP"/>
        </w:rPr>
        <w:t>In-band deployments:</w:t>
      </w:r>
    </w:p>
    <w:p w14:paraId="359FC967" w14:textId="77777777" w:rsidR="004D2CEC" w:rsidRDefault="004D2CEC" w:rsidP="004D2CEC">
      <w:pPr>
        <w:pStyle w:val="ListParagraph"/>
        <w:jc w:val="both"/>
        <w:rPr>
          <w:rFonts w:ascii="Times New Roman" w:eastAsia="SimSun" w:hAnsi="Times New Roman"/>
          <w:sz w:val="20"/>
          <w:szCs w:val="20"/>
          <w:lang w:val="en-US" w:eastAsia="ja-JP"/>
        </w:rPr>
      </w:pPr>
    </w:p>
    <w:p w14:paraId="748B6E7E" w14:textId="77777777" w:rsidR="00EE36EE" w:rsidRPr="004D2CEC" w:rsidRDefault="004D2CEC" w:rsidP="00EE36EE">
      <w:pPr>
        <w:pStyle w:val="ListParagraph"/>
        <w:numPr>
          <w:ilvl w:val="1"/>
          <w:numId w:val="24"/>
        </w:numPr>
        <w:overflowPunct/>
        <w:autoSpaceDE/>
        <w:autoSpaceDN/>
        <w:adjustRightInd/>
        <w:textAlignment w:val="auto"/>
        <w:rPr>
          <w:rFonts w:ascii="Times New Roman" w:hAnsi="Times New Roman"/>
          <w:sz w:val="20"/>
          <w:szCs w:val="20"/>
          <w:lang w:val="en-US" w:eastAsia="sv-SE"/>
        </w:rPr>
      </w:pPr>
      <w:r w:rsidRPr="004D2CEC">
        <w:rPr>
          <w:rFonts w:ascii="Times New Roman" w:eastAsia="SimSun" w:hAnsi="Times New Roman"/>
          <w:sz w:val="20"/>
          <w:szCs w:val="20"/>
          <w:lang w:val="en-US" w:eastAsia="ja-JP"/>
        </w:rPr>
        <w:t>I</w:t>
      </w:r>
      <w:r w:rsidRPr="004D2CEC">
        <w:rPr>
          <w:rFonts w:ascii="Times New Roman" w:eastAsia="SimSun" w:hAnsi="Times New Roman"/>
          <w:sz w:val="20"/>
          <w:szCs w:val="20"/>
          <w:vertAlign w:val="subscript"/>
          <w:lang w:val="en-US" w:eastAsia="ja-JP"/>
        </w:rPr>
        <w:t>TBS12</w:t>
      </w:r>
      <w:r w:rsidRPr="004D2CEC">
        <w:rPr>
          <w:rFonts w:ascii="Times New Roman" w:eastAsia="SimSun" w:hAnsi="Times New Roman"/>
          <w:sz w:val="20"/>
          <w:szCs w:val="20"/>
          <w:lang w:val="en-US" w:eastAsia="ja-JP"/>
        </w:rPr>
        <w:t>-I</w:t>
      </w:r>
      <w:r w:rsidRPr="004D2CEC">
        <w:rPr>
          <w:rFonts w:ascii="Times New Roman" w:eastAsia="SimSun" w:hAnsi="Times New Roman"/>
          <w:sz w:val="20"/>
          <w:szCs w:val="20"/>
          <w:vertAlign w:val="subscript"/>
          <w:lang w:val="en-US" w:eastAsia="ja-JP"/>
        </w:rPr>
        <w:t>TBS11</w:t>
      </w:r>
      <w:r w:rsidRPr="004D2CEC">
        <w:rPr>
          <w:rFonts w:ascii="Times New Roman" w:eastAsia="SimSun" w:hAnsi="Times New Roman"/>
          <w:sz w:val="20"/>
          <w:szCs w:val="20"/>
          <w:lang w:val="en-US" w:eastAsia="ja-JP"/>
        </w:rPr>
        <w:t xml:space="preserve"> = 0.95</w:t>
      </w:r>
      <w:r>
        <w:rPr>
          <w:rFonts w:ascii="Times New Roman" w:eastAsia="SimSun" w:hAnsi="Times New Roman"/>
          <w:sz w:val="20"/>
          <w:szCs w:val="20"/>
          <w:lang w:val="en-US" w:eastAsia="ja-JP"/>
        </w:rPr>
        <w:t xml:space="preserve"> dB</w:t>
      </w:r>
      <w:r w:rsidRPr="004D2CEC">
        <w:rPr>
          <w:rFonts w:ascii="Times New Roman" w:eastAsia="SimSun" w:hAnsi="Times New Roman"/>
          <w:sz w:val="20"/>
          <w:szCs w:val="20"/>
          <w:lang w:val="en-US" w:eastAsia="ja-JP"/>
        </w:rPr>
        <w:t>, I</w:t>
      </w:r>
      <w:r w:rsidRPr="004D2CEC">
        <w:rPr>
          <w:rFonts w:ascii="Times New Roman" w:eastAsia="SimSun" w:hAnsi="Times New Roman"/>
          <w:sz w:val="20"/>
          <w:szCs w:val="20"/>
          <w:vertAlign w:val="subscript"/>
          <w:lang w:val="en-US" w:eastAsia="ja-JP"/>
        </w:rPr>
        <w:t>TBS13</w:t>
      </w:r>
      <w:r w:rsidRPr="004D2CEC">
        <w:rPr>
          <w:rFonts w:ascii="Times New Roman" w:eastAsia="SimSun" w:hAnsi="Times New Roman"/>
          <w:sz w:val="20"/>
          <w:szCs w:val="20"/>
          <w:lang w:val="en-US" w:eastAsia="ja-JP"/>
        </w:rPr>
        <w:t>-I</w:t>
      </w:r>
      <w:r w:rsidRPr="004D2CEC">
        <w:rPr>
          <w:rFonts w:ascii="Times New Roman" w:eastAsia="SimSun" w:hAnsi="Times New Roman"/>
          <w:sz w:val="20"/>
          <w:szCs w:val="20"/>
          <w:vertAlign w:val="subscript"/>
          <w:lang w:val="en-US" w:eastAsia="ja-JP"/>
        </w:rPr>
        <w:t>TBS12</w:t>
      </w:r>
      <w:r w:rsidRPr="004D2CEC">
        <w:rPr>
          <w:rFonts w:ascii="Times New Roman" w:eastAsia="SimSun" w:hAnsi="Times New Roman"/>
          <w:sz w:val="20"/>
          <w:szCs w:val="20"/>
          <w:lang w:val="en-US" w:eastAsia="ja-JP"/>
        </w:rPr>
        <w:t xml:space="preserve"> =</w:t>
      </w:r>
      <w:r>
        <w:rPr>
          <w:rFonts w:ascii="Times New Roman" w:eastAsia="SimSun" w:hAnsi="Times New Roman"/>
          <w:sz w:val="20"/>
          <w:szCs w:val="20"/>
          <w:lang w:val="en-US" w:eastAsia="ja-JP"/>
        </w:rPr>
        <w:t xml:space="preserve"> </w:t>
      </w:r>
      <w:r w:rsidRPr="004D2CEC">
        <w:rPr>
          <w:rFonts w:ascii="Times New Roman" w:eastAsia="SimSun" w:hAnsi="Times New Roman"/>
          <w:sz w:val="20"/>
          <w:szCs w:val="20"/>
          <w:lang w:val="en-US" w:eastAsia="ja-JP"/>
        </w:rPr>
        <w:t>0.83</w:t>
      </w:r>
      <w:r>
        <w:rPr>
          <w:rFonts w:ascii="Times New Roman" w:eastAsia="SimSun" w:hAnsi="Times New Roman"/>
          <w:sz w:val="20"/>
          <w:szCs w:val="20"/>
          <w:lang w:val="en-US" w:eastAsia="ja-JP"/>
        </w:rPr>
        <w:t xml:space="preserve"> dB</w:t>
      </w:r>
      <w:r w:rsidRPr="004D2CEC">
        <w:rPr>
          <w:rFonts w:ascii="Times New Roman" w:eastAsia="SimSun" w:hAnsi="Times New Roman"/>
          <w:sz w:val="20"/>
          <w:szCs w:val="20"/>
          <w:lang w:val="en-US" w:eastAsia="ja-JP"/>
        </w:rPr>
        <w:t>, I</w:t>
      </w:r>
      <w:r w:rsidRPr="004D2CEC">
        <w:rPr>
          <w:rFonts w:ascii="Times New Roman" w:eastAsia="SimSun" w:hAnsi="Times New Roman"/>
          <w:sz w:val="20"/>
          <w:szCs w:val="20"/>
          <w:vertAlign w:val="subscript"/>
          <w:lang w:val="en-US" w:eastAsia="ja-JP"/>
        </w:rPr>
        <w:t>TBS14</w:t>
      </w:r>
      <w:r w:rsidRPr="004D2CEC">
        <w:rPr>
          <w:rFonts w:ascii="Times New Roman" w:eastAsia="SimSun" w:hAnsi="Times New Roman"/>
          <w:sz w:val="20"/>
          <w:szCs w:val="20"/>
          <w:lang w:val="en-US" w:eastAsia="ja-JP"/>
        </w:rPr>
        <w:t>-I</w:t>
      </w:r>
      <w:r w:rsidRPr="004D2CEC">
        <w:rPr>
          <w:rFonts w:ascii="Times New Roman" w:eastAsia="SimSun" w:hAnsi="Times New Roman"/>
          <w:sz w:val="20"/>
          <w:szCs w:val="20"/>
          <w:vertAlign w:val="subscript"/>
          <w:lang w:val="en-US" w:eastAsia="ja-JP"/>
        </w:rPr>
        <w:t>TBS13</w:t>
      </w:r>
      <w:r w:rsidRPr="004D2CEC">
        <w:rPr>
          <w:rFonts w:ascii="Times New Roman" w:eastAsia="SimSun" w:hAnsi="Times New Roman"/>
          <w:sz w:val="20"/>
          <w:szCs w:val="20"/>
          <w:lang w:val="en-US" w:eastAsia="ja-JP"/>
        </w:rPr>
        <w:t xml:space="preserve"> =</w:t>
      </w:r>
      <w:r>
        <w:rPr>
          <w:rFonts w:ascii="Times New Roman" w:eastAsia="SimSun" w:hAnsi="Times New Roman"/>
          <w:sz w:val="20"/>
          <w:szCs w:val="20"/>
          <w:lang w:val="en-US" w:eastAsia="ja-JP"/>
        </w:rPr>
        <w:t xml:space="preserve"> </w:t>
      </w:r>
      <w:r w:rsidRPr="004D2CEC">
        <w:rPr>
          <w:rFonts w:ascii="Times New Roman" w:eastAsia="SimSun" w:hAnsi="Times New Roman"/>
          <w:sz w:val="20"/>
          <w:szCs w:val="20"/>
          <w:lang w:val="en-US" w:eastAsia="ja-JP"/>
        </w:rPr>
        <w:t>1.05</w:t>
      </w:r>
      <w:r>
        <w:rPr>
          <w:rFonts w:ascii="Times New Roman" w:eastAsia="SimSun" w:hAnsi="Times New Roman"/>
          <w:sz w:val="20"/>
          <w:szCs w:val="20"/>
          <w:lang w:val="en-US" w:eastAsia="ja-JP"/>
        </w:rPr>
        <w:t xml:space="preserve"> dB</w:t>
      </w:r>
      <w:r w:rsidRPr="004D2CEC">
        <w:rPr>
          <w:rFonts w:ascii="Times New Roman" w:eastAsia="SimSun" w:hAnsi="Times New Roman"/>
          <w:sz w:val="20"/>
          <w:szCs w:val="20"/>
          <w:lang w:val="en-US" w:eastAsia="ja-JP"/>
        </w:rPr>
        <w:t>, I</w:t>
      </w:r>
      <w:r w:rsidRPr="004D2CEC">
        <w:rPr>
          <w:rFonts w:ascii="Times New Roman" w:eastAsia="SimSun" w:hAnsi="Times New Roman"/>
          <w:sz w:val="20"/>
          <w:szCs w:val="20"/>
          <w:vertAlign w:val="subscript"/>
          <w:lang w:val="en-US" w:eastAsia="ja-JP"/>
        </w:rPr>
        <w:t>TBS15</w:t>
      </w:r>
      <w:r w:rsidRPr="004D2CEC">
        <w:rPr>
          <w:rFonts w:ascii="Times New Roman" w:eastAsia="SimSun" w:hAnsi="Times New Roman"/>
          <w:sz w:val="20"/>
          <w:szCs w:val="20"/>
          <w:lang w:val="en-US" w:eastAsia="ja-JP"/>
        </w:rPr>
        <w:t>-I</w:t>
      </w:r>
      <w:r w:rsidRPr="004D2CEC">
        <w:rPr>
          <w:rFonts w:ascii="Times New Roman" w:eastAsia="SimSun" w:hAnsi="Times New Roman"/>
          <w:sz w:val="20"/>
          <w:szCs w:val="20"/>
          <w:vertAlign w:val="subscript"/>
          <w:lang w:val="en-US" w:eastAsia="ja-JP"/>
        </w:rPr>
        <w:t>TBS14</w:t>
      </w:r>
      <w:r w:rsidRPr="004D2CEC">
        <w:rPr>
          <w:rFonts w:ascii="Times New Roman" w:eastAsia="SimSun" w:hAnsi="Times New Roman"/>
          <w:sz w:val="20"/>
          <w:szCs w:val="20"/>
          <w:lang w:val="en-US" w:eastAsia="ja-JP"/>
        </w:rPr>
        <w:t xml:space="preserve"> = 0.94</w:t>
      </w:r>
      <w:r>
        <w:rPr>
          <w:rFonts w:ascii="Times New Roman" w:eastAsia="SimSun" w:hAnsi="Times New Roman"/>
          <w:sz w:val="20"/>
          <w:szCs w:val="20"/>
          <w:lang w:val="en-US" w:eastAsia="ja-JP"/>
        </w:rPr>
        <w:t xml:space="preserve"> dB</w:t>
      </w:r>
      <w:r w:rsidRPr="004D2CEC">
        <w:rPr>
          <w:rFonts w:ascii="Times New Roman" w:eastAsia="SimSun" w:hAnsi="Times New Roman"/>
          <w:sz w:val="20"/>
          <w:szCs w:val="20"/>
          <w:lang w:val="en-US" w:eastAsia="ja-JP"/>
        </w:rPr>
        <w:t>, I</w:t>
      </w:r>
      <w:r w:rsidRPr="004D2CEC">
        <w:rPr>
          <w:rFonts w:ascii="Times New Roman" w:eastAsia="SimSun" w:hAnsi="Times New Roman"/>
          <w:sz w:val="20"/>
          <w:szCs w:val="20"/>
          <w:vertAlign w:val="subscript"/>
          <w:lang w:val="en-US" w:eastAsia="ja-JP"/>
        </w:rPr>
        <w:t>TBS16</w:t>
      </w:r>
      <w:r w:rsidRPr="004D2CEC">
        <w:rPr>
          <w:rFonts w:ascii="Times New Roman" w:eastAsia="SimSun" w:hAnsi="Times New Roman"/>
          <w:sz w:val="20"/>
          <w:szCs w:val="20"/>
          <w:lang w:val="en-US" w:eastAsia="ja-JP"/>
        </w:rPr>
        <w:t>-I</w:t>
      </w:r>
      <w:r w:rsidRPr="004D2CEC">
        <w:rPr>
          <w:rFonts w:ascii="Times New Roman" w:eastAsia="SimSun" w:hAnsi="Times New Roman"/>
          <w:sz w:val="20"/>
          <w:szCs w:val="20"/>
          <w:vertAlign w:val="subscript"/>
          <w:lang w:val="en-US" w:eastAsia="ja-JP"/>
        </w:rPr>
        <w:t>TBS15</w:t>
      </w:r>
      <w:r w:rsidRPr="004D2CEC">
        <w:rPr>
          <w:rFonts w:ascii="Times New Roman" w:eastAsia="SimSun" w:hAnsi="Times New Roman"/>
          <w:sz w:val="20"/>
          <w:szCs w:val="20"/>
          <w:lang w:val="en-US" w:eastAsia="ja-JP"/>
        </w:rPr>
        <w:t xml:space="preserve"> =</w:t>
      </w:r>
      <w:r>
        <w:rPr>
          <w:rFonts w:ascii="Times New Roman" w:eastAsia="SimSun" w:hAnsi="Times New Roman"/>
          <w:sz w:val="20"/>
          <w:szCs w:val="20"/>
          <w:lang w:val="en-US" w:eastAsia="ja-JP"/>
        </w:rPr>
        <w:t xml:space="preserve"> </w:t>
      </w:r>
      <w:r w:rsidRPr="004D2CEC">
        <w:rPr>
          <w:rFonts w:ascii="Times New Roman" w:eastAsia="SimSun" w:hAnsi="Times New Roman"/>
          <w:sz w:val="20"/>
          <w:szCs w:val="20"/>
          <w:lang w:val="en-US" w:eastAsia="ja-JP"/>
        </w:rPr>
        <w:t>0.71</w:t>
      </w:r>
      <w:r>
        <w:rPr>
          <w:rFonts w:ascii="Times New Roman" w:eastAsia="SimSun" w:hAnsi="Times New Roman"/>
          <w:sz w:val="20"/>
          <w:szCs w:val="20"/>
          <w:lang w:val="en-US" w:eastAsia="ja-JP"/>
        </w:rPr>
        <w:t xml:space="preserve"> dB</w:t>
      </w:r>
      <w:r w:rsidRPr="004D2CEC">
        <w:rPr>
          <w:rFonts w:ascii="Times New Roman" w:eastAsia="SimSun" w:hAnsi="Times New Roman"/>
          <w:sz w:val="20"/>
          <w:szCs w:val="20"/>
          <w:lang w:val="en-US" w:eastAsia="ja-JP"/>
        </w:rPr>
        <w:t>, I</w:t>
      </w:r>
      <w:r w:rsidRPr="004D2CEC">
        <w:rPr>
          <w:rFonts w:ascii="Times New Roman" w:eastAsia="SimSun" w:hAnsi="Times New Roman"/>
          <w:sz w:val="20"/>
          <w:szCs w:val="20"/>
          <w:vertAlign w:val="subscript"/>
          <w:lang w:val="en-US" w:eastAsia="ja-JP"/>
        </w:rPr>
        <w:t>TBS17</w:t>
      </w:r>
      <w:r w:rsidRPr="004D2CEC">
        <w:rPr>
          <w:rFonts w:ascii="Times New Roman" w:eastAsia="SimSun" w:hAnsi="Times New Roman"/>
          <w:sz w:val="20"/>
          <w:szCs w:val="20"/>
          <w:lang w:val="en-US" w:eastAsia="ja-JP"/>
        </w:rPr>
        <w:t>-I</w:t>
      </w:r>
      <w:r w:rsidRPr="004D2CEC">
        <w:rPr>
          <w:rFonts w:ascii="Times New Roman" w:eastAsia="SimSun" w:hAnsi="Times New Roman"/>
          <w:sz w:val="20"/>
          <w:szCs w:val="20"/>
          <w:vertAlign w:val="subscript"/>
          <w:lang w:val="en-US" w:eastAsia="ja-JP"/>
        </w:rPr>
        <w:t>TBS16</w:t>
      </w:r>
      <w:r w:rsidRPr="004D2CEC">
        <w:rPr>
          <w:rFonts w:ascii="Times New Roman" w:eastAsia="SimSun" w:hAnsi="Times New Roman"/>
          <w:sz w:val="20"/>
          <w:szCs w:val="20"/>
          <w:lang w:val="en-US" w:eastAsia="ja-JP"/>
        </w:rPr>
        <w:t xml:space="preserve"> =</w:t>
      </w:r>
      <w:r>
        <w:rPr>
          <w:rFonts w:ascii="Times New Roman" w:eastAsia="SimSun" w:hAnsi="Times New Roman"/>
          <w:sz w:val="20"/>
          <w:szCs w:val="20"/>
          <w:lang w:val="en-US" w:eastAsia="ja-JP"/>
        </w:rPr>
        <w:t xml:space="preserve"> </w:t>
      </w:r>
      <w:r w:rsidRPr="004D2CEC">
        <w:rPr>
          <w:rFonts w:ascii="Times New Roman" w:eastAsia="SimSun" w:hAnsi="Times New Roman"/>
          <w:sz w:val="20"/>
          <w:szCs w:val="20"/>
          <w:lang w:val="en-US" w:eastAsia="ja-JP"/>
        </w:rPr>
        <w:t>3.08</w:t>
      </w:r>
      <w:r>
        <w:rPr>
          <w:rFonts w:ascii="Times New Roman" w:eastAsia="SimSun" w:hAnsi="Times New Roman"/>
          <w:sz w:val="20"/>
          <w:szCs w:val="20"/>
          <w:lang w:val="en-US" w:eastAsia="ja-JP"/>
        </w:rPr>
        <w:t xml:space="preserve"> dB.</w:t>
      </w:r>
    </w:p>
    <w:p w14:paraId="241ADC2C" w14:textId="77777777" w:rsidR="00EE36EE" w:rsidRPr="004D2CEC" w:rsidRDefault="00EE36EE" w:rsidP="00EE36EE">
      <w:pPr>
        <w:pStyle w:val="ListParagraph"/>
        <w:ind w:left="1440"/>
        <w:jc w:val="both"/>
        <w:rPr>
          <w:rFonts w:ascii="Times New Roman" w:eastAsia="SimSun" w:hAnsi="Times New Roman"/>
          <w:sz w:val="20"/>
          <w:szCs w:val="20"/>
          <w:lang w:val="en-US" w:eastAsia="ja-JP"/>
        </w:rPr>
      </w:pPr>
    </w:p>
    <w:p w14:paraId="248AAD7F" w14:textId="7B7FB804" w:rsidR="00964BE3" w:rsidRPr="006149AC" w:rsidRDefault="00EE36EE" w:rsidP="00EE36EE">
      <w:pPr>
        <w:pStyle w:val="ListParagraph"/>
        <w:ind w:left="426"/>
        <w:jc w:val="both"/>
        <w:rPr>
          <w:rFonts w:ascii="Times New Roman" w:eastAsia="SimSun" w:hAnsi="Times New Roman"/>
          <w:sz w:val="20"/>
          <w:szCs w:val="20"/>
          <w:lang w:val="en-US" w:eastAsia="ja-JP"/>
        </w:rPr>
      </w:pPr>
      <w:r w:rsidRPr="006149AC">
        <w:rPr>
          <w:rFonts w:ascii="Times New Roman" w:eastAsia="SimSun" w:hAnsi="Times New Roman"/>
          <w:sz w:val="20"/>
          <w:szCs w:val="20"/>
          <w:lang w:val="en-US" w:eastAsia="ja-JP"/>
        </w:rPr>
        <w:t>Where I</w:t>
      </w:r>
      <w:r w:rsidRPr="006149AC">
        <w:rPr>
          <w:rFonts w:ascii="Times New Roman" w:eastAsia="SimSun" w:hAnsi="Times New Roman"/>
          <w:sz w:val="20"/>
          <w:szCs w:val="20"/>
          <w:vertAlign w:val="subscript"/>
          <w:lang w:val="en-US" w:eastAsia="ja-JP"/>
        </w:rPr>
        <w:t>TBS</w:t>
      </w:r>
      <w:r w:rsidR="006149AC">
        <w:rPr>
          <w:rFonts w:ascii="Times New Roman" w:eastAsia="SimSun" w:hAnsi="Times New Roman"/>
          <w:sz w:val="20"/>
          <w:szCs w:val="20"/>
          <w:vertAlign w:val="subscript"/>
          <w:lang w:val="en-US" w:eastAsia="ja-JP"/>
        </w:rPr>
        <w:t>Y</w:t>
      </w:r>
      <w:r w:rsidRPr="006149AC">
        <w:rPr>
          <w:rFonts w:ascii="Times New Roman" w:eastAsia="SimSun" w:hAnsi="Times New Roman"/>
          <w:sz w:val="20"/>
          <w:szCs w:val="20"/>
          <w:lang w:val="en-US" w:eastAsia="ja-JP"/>
        </w:rPr>
        <w:t>-I</w:t>
      </w:r>
      <w:r w:rsidRPr="006149AC">
        <w:rPr>
          <w:rFonts w:ascii="Times New Roman" w:eastAsia="SimSun" w:hAnsi="Times New Roman"/>
          <w:sz w:val="20"/>
          <w:szCs w:val="20"/>
          <w:vertAlign w:val="subscript"/>
          <w:lang w:val="en-US" w:eastAsia="ja-JP"/>
        </w:rPr>
        <w:t>TBS</w:t>
      </w:r>
      <w:r w:rsidR="006149AC">
        <w:rPr>
          <w:rFonts w:ascii="Times New Roman" w:eastAsia="SimSun" w:hAnsi="Times New Roman"/>
          <w:sz w:val="20"/>
          <w:szCs w:val="20"/>
          <w:vertAlign w:val="subscript"/>
          <w:lang w:val="en-US" w:eastAsia="ja-JP"/>
        </w:rPr>
        <w:t>X</w:t>
      </w:r>
      <w:r w:rsidRPr="006149AC">
        <w:rPr>
          <w:rFonts w:ascii="Times New Roman" w:eastAsia="SimSun" w:hAnsi="Times New Roman"/>
          <w:sz w:val="20"/>
          <w:szCs w:val="20"/>
          <w:lang w:val="en-US" w:eastAsia="ja-JP"/>
        </w:rPr>
        <w:t xml:space="preserve"> above refers to the difference between the average SINR across all the TBS entries of those rows.</w:t>
      </w:r>
    </w:p>
    <w:p w14:paraId="5F67384C" w14:textId="77777777" w:rsidR="00EE36EE" w:rsidRPr="00EE36EE" w:rsidRDefault="00EE36EE" w:rsidP="00EE36EE">
      <w:pPr>
        <w:pStyle w:val="ListParagraph"/>
        <w:jc w:val="both"/>
        <w:rPr>
          <w:rFonts w:ascii="Times New Roman" w:eastAsia="SimSun" w:hAnsi="Times New Roman"/>
          <w:sz w:val="20"/>
          <w:szCs w:val="20"/>
          <w:lang w:val="en-US" w:eastAsia="ja-JP"/>
        </w:rPr>
      </w:pPr>
    </w:p>
    <w:p w14:paraId="5D395CD3" w14:textId="5C0EBB32" w:rsidR="002D57C4" w:rsidRDefault="00964BE3" w:rsidP="002D57C4">
      <w:pPr>
        <w:jc w:val="both"/>
        <w:rPr>
          <w:lang w:val="en-US"/>
        </w:rPr>
      </w:pPr>
      <w:r>
        <w:rPr>
          <w:lang w:val="en-US"/>
        </w:rPr>
        <w:lastRenderedPageBreak/>
        <w:t>As it can be seen the step-size between I</w:t>
      </w:r>
      <w:r w:rsidRPr="00964BE3">
        <w:rPr>
          <w:vertAlign w:val="subscript"/>
          <w:lang w:val="en-US"/>
        </w:rPr>
        <w:t>TBS</w:t>
      </w:r>
      <w:r>
        <w:rPr>
          <w:lang w:val="en-US"/>
        </w:rPr>
        <w:t xml:space="preserve"> indices i</w:t>
      </w:r>
      <w:r w:rsidR="004D2CEC">
        <w:rPr>
          <w:lang w:val="en-US"/>
        </w:rPr>
        <w:t>s i</w:t>
      </w:r>
      <w:r>
        <w:rPr>
          <w:lang w:val="en-US"/>
        </w:rPr>
        <w:t>n most of the cases smaller than 1dB</w:t>
      </w:r>
      <w:r w:rsidR="004D2CEC">
        <w:rPr>
          <w:lang w:val="en-US"/>
        </w:rPr>
        <w:t xml:space="preserve">, which is a level of granularity that might be unfeasible </w:t>
      </w:r>
      <w:r w:rsidR="005D6009">
        <w:rPr>
          <w:lang w:val="en-US"/>
        </w:rPr>
        <w:t xml:space="preserve">to handle </w:t>
      </w:r>
      <w:r w:rsidR="004D2CEC">
        <w:rPr>
          <w:lang w:val="en-US"/>
        </w:rPr>
        <w:t xml:space="preserve">considering the </w:t>
      </w:r>
      <w:r w:rsidR="009A658D">
        <w:rPr>
          <w:lang w:val="en-US"/>
        </w:rPr>
        <w:t xml:space="preserve">measurement quality due to the </w:t>
      </w:r>
      <w:r w:rsidR="004D2CEC">
        <w:rPr>
          <w:lang w:val="en-US"/>
        </w:rPr>
        <w:t>limitations in terms of NRS</w:t>
      </w:r>
      <w:r w:rsidR="002D57C4">
        <w:rPr>
          <w:lang w:val="en-US"/>
        </w:rPr>
        <w:t xml:space="preserve"> availability</w:t>
      </w:r>
      <w:r w:rsidR="009A658D">
        <w:rPr>
          <w:lang w:val="en-US"/>
        </w:rPr>
        <w:t xml:space="preserve"> and receive a</w:t>
      </w:r>
      <w:r w:rsidR="00B43202">
        <w:rPr>
          <w:lang w:val="en-US"/>
        </w:rPr>
        <w:t>n</w:t>
      </w:r>
      <w:r w:rsidR="009A658D">
        <w:rPr>
          <w:lang w:val="en-US"/>
        </w:rPr>
        <w:t>tenna</w:t>
      </w:r>
      <w:r w:rsidR="004D2CEC">
        <w:rPr>
          <w:lang w:val="en-US"/>
        </w:rPr>
        <w:t>.</w:t>
      </w:r>
      <w:r w:rsidR="002D57C4">
        <w:rPr>
          <w:lang w:val="en-US"/>
        </w:rPr>
        <w:t xml:space="preserve"> Indeed, </w:t>
      </w:r>
      <w:r w:rsidR="002D57C4" w:rsidRPr="002D57C4">
        <w:rPr>
          <w:lang w:val="en-US"/>
        </w:rPr>
        <w:t xml:space="preserve">the existing channel quality </w:t>
      </w:r>
      <w:r w:rsidR="002D57C4">
        <w:rPr>
          <w:lang w:val="en-US"/>
        </w:rPr>
        <w:t xml:space="preserve">reporting </w:t>
      </w:r>
      <w:r w:rsidR="002D57C4" w:rsidRPr="002D57C4">
        <w:rPr>
          <w:lang w:val="en-US"/>
        </w:rPr>
        <w:t xml:space="preserve">table is specified for each repetition level 1, 2, 4, 8, …, which means </w:t>
      </w:r>
      <w:r w:rsidR="002D57C4">
        <w:rPr>
          <w:lang w:val="en-US"/>
        </w:rPr>
        <w:t xml:space="preserve">that </w:t>
      </w:r>
      <w:r w:rsidR="002D57C4" w:rsidRPr="002D57C4">
        <w:rPr>
          <w:lang w:val="en-US"/>
        </w:rPr>
        <w:t>the step size is 3dB</w:t>
      </w:r>
      <w:r w:rsidR="00B43202">
        <w:rPr>
          <w:lang w:val="en-US"/>
        </w:rPr>
        <w:t xml:space="preserve"> in static channel condition</w:t>
      </w:r>
      <w:r w:rsidR="002D57C4">
        <w:rPr>
          <w:lang w:val="en-US"/>
        </w:rPr>
        <w:t xml:space="preserve">. In Rel-17, the repetition level is 1, and since </w:t>
      </w:r>
      <w:r w:rsidR="002D57C4" w:rsidRPr="002D57C4">
        <w:rPr>
          <w:lang w:val="en-US"/>
        </w:rPr>
        <w:t>any step-size smaller than 1 dB seems to be unfeasible</w:t>
      </w:r>
      <w:r w:rsidR="005D6009">
        <w:rPr>
          <w:lang w:val="en-US"/>
        </w:rPr>
        <w:t xml:space="preserve"> to deal with</w:t>
      </w:r>
      <w:r w:rsidR="002D57C4" w:rsidRPr="002D57C4">
        <w:rPr>
          <w:lang w:val="en-US"/>
        </w:rPr>
        <w:t>, it would be needed to group the I</w:t>
      </w:r>
      <w:r w:rsidR="002D57C4" w:rsidRPr="002D57C4">
        <w:rPr>
          <w:vertAlign w:val="subscript"/>
          <w:lang w:val="en-US"/>
        </w:rPr>
        <w:t>TBS</w:t>
      </w:r>
      <w:r w:rsidR="002D57C4" w:rsidRPr="002D57C4">
        <w:rPr>
          <w:lang w:val="en-US"/>
        </w:rPr>
        <w:t xml:space="preserve"> indices for example as follows as to increase the step-size</w:t>
      </w:r>
      <w:r w:rsidR="002D57C4">
        <w:rPr>
          <w:lang w:val="en-US"/>
        </w:rPr>
        <w:t>:</w:t>
      </w:r>
    </w:p>
    <w:p w14:paraId="7CAAEDEE" w14:textId="77777777" w:rsidR="002D57C4" w:rsidRDefault="002D57C4" w:rsidP="00247762">
      <w:pPr>
        <w:pStyle w:val="ListParagraph"/>
        <w:numPr>
          <w:ilvl w:val="0"/>
          <w:numId w:val="24"/>
        </w:numPr>
        <w:jc w:val="both"/>
        <w:rPr>
          <w:rFonts w:ascii="Times New Roman" w:eastAsia="SimSun" w:hAnsi="Times New Roman"/>
          <w:sz w:val="20"/>
          <w:szCs w:val="20"/>
          <w:lang w:val="en-US" w:eastAsia="ja-JP"/>
        </w:rPr>
      </w:pPr>
      <w:r w:rsidRPr="004D2CEC">
        <w:rPr>
          <w:rFonts w:ascii="Times New Roman" w:eastAsia="SimSun" w:hAnsi="Times New Roman"/>
          <w:sz w:val="20"/>
          <w:szCs w:val="20"/>
          <w:lang w:val="en-US" w:eastAsia="ja-JP"/>
        </w:rPr>
        <w:t>Stand-alone and Guard-band deployments:</w:t>
      </w:r>
    </w:p>
    <w:p w14:paraId="4476B726" w14:textId="77777777" w:rsidR="002D57C4" w:rsidRDefault="002D57C4" w:rsidP="002D57C4">
      <w:pPr>
        <w:pStyle w:val="ListParagraph"/>
        <w:jc w:val="both"/>
        <w:rPr>
          <w:rFonts w:ascii="Times New Roman" w:eastAsia="SimSun" w:hAnsi="Times New Roman"/>
          <w:sz w:val="20"/>
          <w:szCs w:val="20"/>
          <w:lang w:val="en-US" w:eastAsia="ja-JP"/>
        </w:rPr>
      </w:pPr>
    </w:p>
    <w:p w14:paraId="195D1808" w14:textId="10CB4FCF" w:rsidR="002D57C4" w:rsidRPr="00195EE9" w:rsidRDefault="00195EE9" w:rsidP="00247762">
      <w:pPr>
        <w:pStyle w:val="ListParagraph"/>
        <w:numPr>
          <w:ilvl w:val="1"/>
          <w:numId w:val="24"/>
        </w:numPr>
        <w:overflowPunct/>
        <w:autoSpaceDE/>
        <w:autoSpaceDN/>
        <w:adjustRightInd/>
        <w:textAlignment w:val="auto"/>
        <w:rPr>
          <w:rFonts w:ascii="Times New Roman" w:hAnsi="Times New Roman"/>
          <w:lang w:val="en-US" w:eastAsia="sv-SE"/>
        </w:rPr>
      </w:pPr>
      <w:r w:rsidRPr="00195EE9">
        <w:rPr>
          <w:rFonts w:ascii="Times New Roman" w:hAnsi="Times New Roman"/>
          <w:sz w:val="20"/>
          <w:szCs w:val="20"/>
          <w:lang w:val="en-US"/>
        </w:rPr>
        <w:t>I</w:t>
      </w:r>
      <w:r w:rsidRPr="00195EE9">
        <w:rPr>
          <w:rFonts w:ascii="Times New Roman" w:hAnsi="Times New Roman"/>
          <w:sz w:val="20"/>
          <w:szCs w:val="20"/>
          <w:vertAlign w:val="subscript"/>
          <w:lang w:val="en-US"/>
        </w:rPr>
        <w:t>TBS17</w:t>
      </w:r>
      <w:r w:rsidRPr="00195EE9">
        <w:rPr>
          <w:rFonts w:ascii="Times New Roman" w:hAnsi="Times New Roman"/>
          <w:sz w:val="20"/>
          <w:szCs w:val="20"/>
          <w:lang w:val="en-US"/>
        </w:rPr>
        <w:t>-I</w:t>
      </w:r>
      <w:r w:rsidRPr="00195EE9">
        <w:rPr>
          <w:rFonts w:ascii="Times New Roman" w:hAnsi="Times New Roman"/>
          <w:sz w:val="20"/>
          <w:szCs w:val="20"/>
          <w:vertAlign w:val="subscript"/>
          <w:lang w:val="en-US"/>
        </w:rPr>
        <w:t>TBS14</w:t>
      </w:r>
      <w:r w:rsidRPr="00195EE9">
        <w:rPr>
          <w:rFonts w:ascii="Times New Roman" w:hAnsi="Times New Roman"/>
          <w:sz w:val="20"/>
          <w:szCs w:val="20"/>
          <w:lang w:val="en-US"/>
        </w:rPr>
        <w:t xml:space="preserve"> =</w:t>
      </w:r>
      <w:r>
        <w:rPr>
          <w:rFonts w:ascii="Times New Roman" w:hAnsi="Times New Roman"/>
          <w:sz w:val="20"/>
          <w:szCs w:val="20"/>
          <w:lang w:val="en-US"/>
        </w:rPr>
        <w:t xml:space="preserve"> </w:t>
      </w:r>
      <w:r w:rsidRPr="00195EE9">
        <w:rPr>
          <w:rFonts w:ascii="Times New Roman" w:hAnsi="Times New Roman"/>
          <w:sz w:val="20"/>
          <w:szCs w:val="20"/>
          <w:lang w:val="en-US"/>
        </w:rPr>
        <w:t>1.63, I</w:t>
      </w:r>
      <w:r w:rsidRPr="00195EE9">
        <w:rPr>
          <w:rFonts w:ascii="Times New Roman" w:hAnsi="Times New Roman"/>
          <w:sz w:val="20"/>
          <w:szCs w:val="20"/>
          <w:vertAlign w:val="subscript"/>
          <w:lang w:val="en-US"/>
        </w:rPr>
        <w:t>TBS20</w:t>
      </w:r>
      <w:r w:rsidRPr="00195EE9">
        <w:rPr>
          <w:rFonts w:ascii="Times New Roman" w:hAnsi="Times New Roman"/>
          <w:sz w:val="20"/>
          <w:szCs w:val="20"/>
          <w:lang w:val="en-US"/>
        </w:rPr>
        <w:t>-I</w:t>
      </w:r>
      <w:r w:rsidRPr="00195EE9">
        <w:rPr>
          <w:rFonts w:ascii="Times New Roman" w:hAnsi="Times New Roman"/>
          <w:sz w:val="20"/>
          <w:szCs w:val="20"/>
          <w:vertAlign w:val="subscript"/>
          <w:lang w:val="en-US"/>
        </w:rPr>
        <w:t>TBS18</w:t>
      </w:r>
      <w:r w:rsidRPr="00195EE9">
        <w:rPr>
          <w:rFonts w:ascii="Times New Roman" w:hAnsi="Times New Roman"/>
          <w:sz w:val="20"/>
          <w:szCs w:val="20"/>
          <w:lang w:val="en-US"/>
        </w:rPr>
        <w:t xml:space="preserve"> =</w:t>
      </w:r>
      <w:r>
        <w:rPr>
          <w:rFonts w:ascii="Times New Roman" w:hAnsi="Times New Roman"/>
          <w:sz w:val="20"/>
          <w:szCs w:val="20"/>
          <w:lang w:val="en-US"/>
        </w:rPr>
        <w:t xml:space="preserve"> </w:t>
      </w:r>
      <w:r w:rsidRPr="00195EE9">
        <w:rPr>
          <w:rFonts w:ascii="Times New Roman" w:hAnsi="Times New Roman"/>
          <w:sz w:val="20"/>
          <w:szCs w:val="20"/>
          <w:lang w:val="en-US"/>
        </w:rPr>
        <w:t>1.94, I</w:t>
      </w:r>
      <w:r w:rsidRPr="00195EE9">
        <w:rPr>
          <w:rFonts w:ascii="Times New Roman" w:hAnsi="Times New Roman"/>
          <w:sz w:val="20"/>
          <w:szCs w:val="20"/>
          <w:vertAlign w:val="subscript"/>
          <w:lang w:val="en-US"/>
        </w:rPr>
        <w:t>TBS21</w:t>
      </w:r>
      <w:r w:rsidRPr="00195EE9">
        <w:rPr>
          <w:rFonts w:ascii="Times New Roman" w:hAnsi="Times New Roman"/>
          <w:sz w:val="20"/>
          <w:szCs w:val="20"/>
          <w:lang w:val="en-US"/>
        </w:rPr>
        <w:t>-I</w:t>
      </w:r>
      <w:r w:rsidRPr="00195EE9">
        <w:rPr>
          <w:rFonts w:ascii="Times New Roman" w:hAnsi="Times New Roman"/>
          <w:sz w:val="20"/>
          <w:szCs w:val="20"/>
          <w:vertAlign w:val="subscript"/>
          <w:lang w:val="en-US"/>
        </w:rPr>
        <w:t>TBS20</w:t>
      </w:r>
      <w:r w:rsidRPr="00195EE9">
        <w:rPr>
          <w:rFonts w:ascii="Times New Roman" w:hAnsi="Times New Roman"/>
          <w:sz w:val="20"/>
          <w:szCs w:val="20"/>
          <w:lang w:val="en-US"/>
        </w:rPr>
        <w:t xml:space="preserve"> = 1.43</w:t>
      </w:r>
    </w:p>
    <w:p w14:paraId="236F9B9D" w14:textId="77777777" w:rsidR="002D57C4" w:rsidRPr="004D2CEC" w:rsidRDefault="002D57C4" w:rsidP="002D57C4">
      <w:pPr>
        <w:pStyle w:val="ListParagraph"/>
        <w:ind w:left="1440"/>
        <w:jc w:val="both"/>
        <w:rPr>
          <w:rFonts w:ascii="Times New Roman" w:eastAsia="SimSun" w:hAnsi="Times New Roman"/>
          <w:sz w:val="20"/>
          <w:szCs w:val="20"/>
          <w:lang w:val="en-US" w:eastAsia="ja-JP"/>
        </w:rPr>
      </w:pPr>
    </w:p>
    <w:p w14:paraId="0BB18C10" w14:textId="77777777" w:rsidR="002D57C4" w:rsidRDefault="002D57C4" w:rsidP="00247762">
      <w:pPr>
        <w:pStyle w:val="ListParagraph"/>
        <w:numPr>
          <w:ilvl w:val="0"/>
          <w:numId w:val="24"/>
        </w:numPr>
        <w:jc w:val="both"/>
        <w:rPr>
          <w:rFonts w:ascii="Times New Roman" w:eastAsia="SimSun" w:hAnsi="Times New Roman"/>
          <w:sz w:val="20"/>
          <w:szCs w:val="20"/>
          <w:lang w:val="en-US" w:eastAsia="ja-JP"/>
        </w:rPr>
      </w:pPr>
      <w:r w:rsidRPr="004D2CEC">
        <w:rPr>
          <w:rFonts w:ascii="Times New Roman" w:eastAsia="SimSun" w:hAnsi="Times New Roman"/>
          <w:sz w:val="20"/>
          <w:szCs w:val="20"/>
          <w:lang w:val="en-US" w:eastAsia="ja-JP"/>
        </w:rPr>
        <w:t>In-band deployments:</w:t>
      </w:r>
    </w:p>
    <w:p w14:paraId="3556F3DE" w14:textId="77777777" w:rsidR="002D57C4" w:rsidRDefault="002D57C4" w:rsidP="002D57C4">
      <w:pPr>
        <w:pStyle w:val="ListParagraph"/>
        <w:jc w:val="both"/>
        <w:rPr>
          <w:rFonts w:ascii="Times New Roman" w:eastAsia="SimSun" w:hAnsi="Times New Roman"/>
          <w:sz w:val="20"/>
          <w:szCs w:val="20"/>
          <w:lang w:val="en-US" w:eastAsia="ja-JP"/>
        </w:rPr>
      </w:pPr>
    </w:p>
    <w:p w14:paraId="7EE41CAE" w14:textId="59DA7060" w:rsidR="00195EE9" w:rsidRPr="00195EE9" w:rsidRDefault="00195EE9" w:rsidP="00247762">
      <w:pPr>
        <w:pStyle w:val="ListParagraph"/>
        <w:numPr>
          <w:ilvl w:val="1"/>
          <w:numId w:val="28"/>
        </w:numPr>
        <w:jc w:val="both"/>
        <w:rPr>
          <w:rFonts w:ascii="Times New Roman" w:hAnsi="Times New Roman"/>
          <w:sz w:val="20"/>
          <w:szCs w:val="20"/>
          <w:lang w:val="en-US"/>
        </w:rPr>
      </w:pPr>
      <w:r w:rsidRPr="00195EE9">
        <w:rPr>
          <w:rFonts w:ascii="Times New Roman" w:hAnsi="Times New Roman"/>
          <w:sz w:val="20"/>
          <w:szCs w:val="20"/>
          <w:lang w:val="en-US"/>
        </w:rPr>
        <w:t>I</w:t>
      </w:r>
      <w:r w:rsidRPr="00195EE9">
        <w:rPr>
          <w:rFonts w:ascii="Times New Roman" w:hAnsi="Times New Roman"/>
          <w:sz w:val="20"/>
          <w:szCs w:val="20"/>
          <w:vertAlign w:val="subscript"/>
          <w:lang w:val="en-US"/>
        </w:rPr>
        <w:t>TBS13</w:t>
      </w:r>
      <w:r w:rsidRPr="00195EE9">
        <w:rPr>
          <w:rFonts w:ascii="Times New Roman" w:hAnsi="Times New Roman"/>
          <w:sz w:val="20"/>
          <w:szCs w:val="20"/>
          <w:lang w:val="en-US"/>
        </w:rPr>
        <w:t>-I</w:t>
      </w:r>
      <w:r w:rsidRPr="00195EE9">
        <w:rPr>
          <w:rFonts w:ascii="Times New Roman" w:hAnsi="Times New Roman"/>
          <w:sz w:val="20"/>
          <w:szCs w:val="20"/>
          <w:vertAlign w:val="subscript"/>
          <w:lang w:val="en-US"/>
        </w:rPr>
        <w:t>TBS11</w:t>
      </w:r>
      <w:r w:rsidRPr="00195EE9">
        <w:rPr>
          <w:rFonts w:ascii="Times New Roman" w:hAnsi="Times New Roman"/>
          <w:sz w:val="20"/>
          <w:szCs w:val="20"/>
          <w:lang w:val="en-US"/>
        </w:rPr>
        <w:t xml:space="preserve"> = 1.78, I</w:t>
      </w:r>
      <w:r w:rsidRPr="00195EE9">
        <w:rPr>
          <w:rFonts w:ascii="Times New Roman" w:hAnsi="Times New Roman"/>
          <w:sz w:val="20"/>
          <w:szCs w:val="20"/>
          <w:vertAlign w:val="subscript"/>
          <w:lang w:val="en-US"/>
        </w:rPr>
        <w:t>TBS16</w:t>
      </w:r>
      <w:r w:rsidRPr="00195EE9">
        <w:rPr>
          <w:rFonts w:ascii="Times New Roman" w:hAnsi="Times New Roman"/>
          <w:sz w:val="20"/>
          <w:szCs w:val="20"/>
          <w:lang w:val="en-US"/>
        </w:rPr>
        <w:t>-I</w:t>
      </w:r>
      <w:r w:rsidRPr="00195EE9">
        <w:rPr>
          <w:rFonts w:ascii="Times New Roman" w:hAnsi="Times New Roman"/>
          <w:sz w:val="20"/>
          <w:szCs w:val="20"/>
          <w:vertAlign w:val="subscript"/>
          <w:lang w:val="en-US"/>
        </w:rPr>
        <w:t>TBS14</w:t>
      </w:r>
      <w:r w:rsidRPr="00195EE9">
        <w:rPr>
          <w:rFonts w:ascii="Times New Roman" w:hAnsi="Times New Roman"/>
          <w:sz w:val="20"/>
          <w:szCs w:val="20"/>
          <w:lang w:val="en-US"/>
        </w:rPr>
        <w:t xml:space="preserve"> =</w:t>
      </w:r>
      <w:r>
        <w:rPr>
          <w:rFonts w:ascii="Times New Roman" w:hAnsi="Times New Roman"/>
          <w:sz w:val="20"/>
          <w:szCs w:val="20"/>
          <w:lang w:val="en-US"/>
        </w:rPr>
        <w:t xml:space="preserve"> </w:t>
      </w:r>
      <w:r w:rsidRPr="00195EE9">
        <w:rPr>
          <w:rFonts w:ascii="Times New Roman" w:hAnsi="Times New Roman"/>
          <w:sz w:val="20"/>
          <w:szCs w:val="20"/>
          <w:lang w:val="en-US"/>
        </w:rPr>
        <w:t>1.65, I</w:t>
      </w:r>
      <w:r w:rsidRPr="00195EE9">
        <w:rPr>
          <w:rFonts w:ascii="Times New Roman" w:hAnsi="Times New Roman"/>
          <w:sz w:val="20"/>
          <w:szCs w:val="20"/>
          <w:vertAlign w:val="subscript"/>
          <w:lang w:val="en-US"/>
        </w:rPr>
        <w:t>TBS17</w:t>
      </w:r>
      <w:r w:rsidRPr="00195EE9">
        <w:rPr>
          <w:rFonts w:ascii="Times New Roman" w:hAnsi="Times New Roman"/>
          <w:sz w:val="20"/>
          <w:szCs w:val="20"/>
          <w:lang w:val="en-US"/>
        </w:rPr>
        <w:t>-I</w:t>
      </w:r>
      <w:r w:rsidRPr="00195EE9">
        <w:rPr>
          <w:rFonts w:ascii="Times New Roman" w:hAnsi="Times New Roman"/>
          <w:sz w:val="20"/>
          <w:szCs w:val="20"/>
          <w:vertAlign w:val="subscript"/>
          <w:lang w:val="en-US"/>
        </w:rPr>
        <w:t>TBS16</w:t>
      </w:r>
      <w:r w:rsidRPr="00195EE9">
        <w:rPr>
          <w:rFonts w:ascii="Times New Roman" w:hAnsi="Times New Roman"/>
          <w:sz w:val="20"/>
          <w:szCs w:val="20"/>
          <w:lang w:val="en-US"/>
        </w:rPr>
        <w:t xml:space="preserve"> =</w:t>
      </w:r>
      <w:r>
        <w:rPr>
          <w:rFonts w:ascii="Times New Roman" w:hAnsi="Times New Roman"/>
          <w:sz w:val="20"/>
          <w:szCs w:val="20"/>
          <w:lang w:val="en-US"/>
        </w:rPr>
        <w:t xml:space="preserve"> </w:t>
      </w:r>
      <w:r w:rsidRPr="00195EE9">
        <w:rPr>
          <w:rFonts w:ascii="Times New Roman" w:hAnsi="Times New Roman"/>
          <w:sz w:val="20"/>
          <w:szCs w:val="20"/>
          <w:lang w:val="en-US"/>
        </w:rPr>
        <w:t>3.08</w:t>
      </w:r>
    </w:p>
    <w:p w14:paraId="2F2EEA0E" w14:textId="77777777" w:rsidR="002D57C4" w:rsidRPr="004D2CEC" w:rsidRDefault="002D57C4" w:rsidP="002D57C4">
      <w:pPr>
        <w:pStyle w:val="ListParagraph"/>
        <w:jc w:val="both"/>
        <w:rPr>
          <w:rFonts w:ascii="Times New Roman" w:eastAsia="SimSun" w:hAnsi="Times New Roman"/>
          <w:sz w:val="20"/>
          <w:szCs w:val="20"/>
          <w:lang w:val="en-US" w:eastAsia="ja-JP"/>
        </w:rPr>
      </w:pPr>
    </w:p>
    <w:p w14:paraId="564F6802" w14:textId="1DA30917" w:rsidR="00161B74" w:rsidRDefault="00161B74" w:rsidP="00F67ED1">
      <w:pPr>
        <w:jc w:val="both"/>
        <w:rPr>
          <w:lang w:val="en-US"/>
        </w:rPr>
      </w:pPr>
      <w:r>
        <w:rPr>
          <w:lang w:val="en-US"/>
        </w:rPr>
        <w:t xml:space="preserve">Using the </w:t>
      </w:r>
      <w:r w:rsidR="005D6009">
        <w:rPr>
          <w:lang w:val="en-US"/>
        </w:rPr>
        <w:t xml:space="preserve">above suggested </w:t>
      </w:r>
      <w:r w:rsidRPr="002D57C4">
        <w:rPr>
          <w:lang w:val="en-US"/>
        </w:rPr>
        <w:t>I</w:t>
      </w:r>
      <w:r w:rsidRPr="002D57C4">
        <w:rPr>
          <w:vertAlign w:val="subscript"/>
          <w:lang w:val="en-US"/>
        </w:rPr>
        <w:t>TBS</w:t>
      </w:r>
      <w:r w:rsidRPr="002D57C4">
        <w:rPr>
          <w:lang w:val="en-US"/>
        </w:rPr>
        <w:t xml:space="preserve"> ind</w:t>
      </w:r>
      <w:r>
        <w:rPr>
          <w:lang w:val="en-US"/>
        </w:rPr>
        <w:t>ex grouping</w:t>
      </w:r>
      <w:r w:rsidR="00574146">
        <w:rPr>
          <w:lang w:val="en-US"/>
        </w:rPr>
        <w:t>,</w:t>
      </w:r>
      <w:r>
        <w:rPr>
          <w:lang w:val="en-US"/>
        </w:rPr>
        <w:t xml:space="preserve"> below we provide an example on how they can be incorporated into a CQI index table as to use the</w:t>
      </w:r>
      <w:r w:rsidRPr="00161B74">
        <w:rPr>
          <w:lang w:val="en-US"/>
        </w:rPr>
        <w:t xml:space="preserve"> three candidate reports (i.e., candidateRep-M, candidateRep-N, or candidateRep-O)</w:t>
      </w:r>
      <w:r>
        <w:rPr>
          <w:lang w:val="en-US"/>
        </w:rPr>
        <w:t xml:space="preserve"> available in the legacy </w:t>
      </w:r>
      <w:r w:rsidRPr="00161B74">
        <w:rPr>
          <w:lang w:val="en-US"/>
        </w:rPr>
        <w:t>Table 9.1.22.15-1</w:t>
      </w:r>
      <w:r>
        <w:rPr>
          <w:lang w:val="en-US"/>
        </w:rPr>
        <w:t xml:space="preserve"> [</w:t>
      </w:r>
      <w:r w:rsidR="00203B00">
        <w:rPr>
          <w:lang w:val="en-US"/>
        </w:rPr>
        <w:t>4</w:t>
      </w:r>
      <w:r>
        <w:rPr>
          <w:lang w:val="en-US"/>
        </w:rPr>
        <w:t>].</w:t>
      </w:r>
    </w:p>
    <w:p w14:paraId="3D991744" w14:textId="1E8B31E4" w:rsidR="00161B74" w:rsidRPr="00161B74" w:rsidRDefault="00161B74" w:rsidP="00161B74">
      <w:pPr>
        <w:pStyle w:val="TH"/>
        <w:rPr>
          <w:rFonts w:ascii="Times New Roman" w:hAnsi="Times New Roman"/>
          <w:sz w:val="16"/>
          <w:szCs w:val="16"/>
          <w:lang w:val="en-US" w:eastAsia="en-GB"/>
        </w:rPr>
      </w:pPr>
      <w:r w:rsidRPr="00161B74">
        <w:rPr>
          <w:rFonts w:ascii="Times New Roman" w:hAnsi="Times New Roman"/>
          <w:sz w:val="16"/>
          <w:szCs w:val="16"/>
          <w:lang w:val="en-US"/>
        </w:rPr>
        <w:t>Table 4</w:t>
      </w:r>
      <w:r>
        <w:rPr>
          <w:rFonts w:ascii="Times New Roman" w:hAnsi="Times New Roman"/>
          <w:sz w:val="16"/>
          <w:szCs w:val="16"/>
          <w:lang w:val="en-US"/>
        </w:rPr>
        <w:t>c</w:t>
      </w:r>
      <w:r w:rsidRPr="00161B74">
        <w:rPr>
          <w:rFonts w:ascii="Times New Roman" w:hAnsi="Times New Roman"/>
          <w:sz w:val="16"/>
          <w:szCs w:val="16"/>
          <w:lang w:val="en-US"/>
        </w:rPr>
        <w:t>: Updated Table 9.1.22.15-1: Downlink channel quality measurement report mapping of CQI-NPDCCH-NB when the DL channel quality reporting is supported</w:t>
      </w:r>
    </w:p>
    <w:tbl>
      <w:tblPr>
        <w:tblW w:w="9062" w:type="dxa"/>
        <w:jc w:val="center"/>
        <w:tblCellMar>
          <w:left w:w="0" w:type="dxa"/>
          <w:right w:w="0" w:type="dxa"/>
        </w:tblCellMar>
        <w:tblLook w:val="04A0" w:firstRow="1" w:lastRow="0" w:firstColumn="1" w:lastColumn="0" w:noHBand="0" w:noVBand="1"/>
      </w:tblPr>
      <w:tblGrid>
        <w:gridCol w:w="1550"/>
        <w:gridCol w:w="2675"/>
        <w:gridCol w:w="4837"/>
      </w:tblGrid>
      <w:tr w:rsidR="00161B74" w14:paraId="20061739" w14:textId="77777777" w:rsidTr="73E20EA6">
        <w:trPr>
          <w:trHeight w:val="76"/>
          <w:jc w:val="center"/>
        </w:trPr>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030FB6" w14:textId="77777777" w:rsidR="00161B74" w:rsidRDefault="00161B74">
            <w:pPr>
              <w:pStyle w:val="TAH"/>
              <w:rPr>
                <w:rFonts w:cs="Arial"/>
                <w:lang w:eastAsia="en-US"/>
              </w:rPr>
            </w:pPr>
            <w:r>
              <w:t>Reported value</w:t>
            </w:r>
          </w:p>
        </w:tc>
        <w:tc>
          <w:tcPr>
            <w:tcW w:w="26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7E9248" w14:textId="77777777" w:rsidR="00161B74" w:rsidRDefault="00161B74">
            <w:pPr>
              <w:pStyle w:val="TAH"/>
              <w:rPr>
                <w:sz w:val="22"/>
                <w:szCs w:val="22"/>
                <w:lang w:val="sv-SE"/>
              </w:rPr>
            </w:pPr>
            <w:r>
              <w:t>NPDCCH repetition level</w:t>
            </w:r>
          </w:p>
        </w:tc>
        <w:tc>
          <w:tcPr>
            <w:tcW w:w="4837" w:type="dxa"/>
            <w:tcBorders>
              <w:top w:val="single" w:sz="8" w:space="0" w:color="auto"/>
              <w:left w:val="nil"/>
              <w:bottom w:val="single" w:sz="8" w:space="0" w:color="auto"/>
              <w:right w:val="single" w:sz="8" w:space="0" w:color="auto"/>
            </w:tcBorders>
            <w:hideMark/>
          </w:tcPr>
          <w:p w14:paraId="25BEB3D7" w14:textId="21ABD55C" w:rsidR="00161B74" w:rsidRDefault="00161B74" w:rsidP="73E20EA6">
            <w:pPr>
              <w:pStyle w:val="TAH"/>
              <w:rPr>
                <w:sz w:val="20"/>
                <w:lang w:eastAsia="sv-SE"/>
              </w:rPr>
            </w:pPr>
            <w:r>
              <w:t xml:space="preserve">16-QAM CQI index with </w:t>
            </w:r>
            <w:r w:rsidR="00A139CB" w:rsidRPr="000B6EE7">
              <w:rPr>
                <w:lang w:val="en-US"/>
              </w:rPr>
              <w:t>NP</w:t>
            </w:r>
            <w:r w:rsidR="00A139CB">
              <w:rPr>
                <w:lang w:val="en-US"/>
              </w:rPr>
              <w:t xml:space="preserve">DSCH </w:t>
            </w:r>
            <w:r>
              <w:t>transport block error probability not exceeding 0.1</w:t>
            </w:r>
          </w:p>
        </w:tc>
      </w:tr>
      <w:tr w:rsidR="00161B74" w14:paraId="6824B0C7" w14:textId="77777777" w:rsidTr="73E20EA6">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B5B090" w14:textId="77777777" w:rsidR="00161B74" w:rsidRDefault="00161B74">
            <w:pPr>
              <w:pStyle w:val="TAC"/>
              <w:rPr>
                <w:szCs w:val="18"/>
                <w:lang w:val="en-GB"/>
              </w:rPr>
            </w:pPr>
            <w:r>
              <w:rPr>
                <w:lang w:val="en-GB"/>
              </w:rPr>
              <w:t>candidateRep-M</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434965" w14:textId="77777777" w:rsidR="00161B74" w:rsidRDefault="00161B74">
            <w:pPr>
              <w:pStyle w:val="TAC"/>
              <w:rPr>
                <w:sz w:val="20"/>
                <w:lang w:val="en-GB"/>
              </w:rPr>
            </w:pPr>
            <w:r>
              <w:rPr>
                <w:lang w:val="en-GB"/>
              </w:rPr>
              <w:t>1</w:t>
            </w:r>
          </w:p>
        </w:tc>
        <w:tc>
          <w:tcPr>
            <w:tcW w:w="4837" w:type="dxa"/>
            <w:tcBorders>
              <w:top w:val="nil"/>
              <w:left w:val="nil"/>
              <w:bottom w:val="single" w:sz="8" w:space="0" w:color="auto"/>
              <w:right w:val="single" w:sz="8" w:space="0" w:color="auto"/>
            </w:tcBorders>
            <w:hideMark/>
          </w:tcPr>
          <w:p w14:paraId="556393A9" w14:textId="77777777" w:rsidR="00161B74" w:rsidRPr="00B9545E" w:rsidRDefault="00161B74">
            <w:pPr>
              <w:pStyle w:val="TAC"/>
              <w:rPr>
                <w:lang w:val="en-GB"/>
              </w:rPr>
            </w:pPr>
            <w:r w:rsidRPr="00B9545E">
              <w:rPr>
                <w:rFonts w:ascii="Calibri" w:hAnsi="Calibri" w:cs="Calibri"/>
              </w:rPr>
              <w:t>0</w:t>
            </w:r>
          </w:p>
        </w:tc>
      </w:tr>
      <w:tr w:rsidR="00161B74" w14:paraId="00B5FF59" w14:textId="77777777" w:rsidTr="73E20EA6">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9EC232" w14:textId="77777777" w:rsidR="00161B74" w:rsidRDefault="00161B74">
            <w:pPr>
              <w:pStyle w:val="TAC"/>
              <w:rPr>
                <w:lang w:val="en-GB"/>
              </w:rPr>
            </w:pPr>
            <w:r>
              <w:rPr>
                <w:lang w:val="en-GB"/>
              </w:rPr>
              <w:t>candidateRep-N</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8CD453" w14:textId="77777777" w:rsidR="00161B74" w:rsidRDefault="00161B74">
            <w:pPr>
              <w:pStyle w:val="TAC"/>
              <w:rPr>
                <w:lang w:val="en-GB"/>
              </w:rPr>
            </w:pPr>
            <w:r>
              <w:rPr>
                <w:lang w:val="en-GB"/>
              </w:rPr>
              <w:t>1</w:t>
            </w:r>
          </w:p>
        </w:tc>
        <w:tc>
          <w:tcPr>
            <w:tcW w:w="4837" w:type="dxa"/>
            <w:tcBorders>
              <w:top w:val="nil"/>
              <w:left w:val="nil"/>
              <w:bottom w:val="single" w:sz="8" w:space="0" w:color="auto"/>
              <w:right w:val="single" w:sz="8" w:space="0" w:color="auto"/>
            </w:tcBorders>
            <w:hideMark/>
          </w:tcPr>
          <w:p w14:paraId="58BA5E06" w14:textId="77777777" w:rsidR="00161B74" w:rsidRPr="00B9545E" w:rsidRDefault="00161B74">
            <w:pPr>
              <w:pStyle w:val="TAC"/>
              <w:rPr>
                <w:lang w:val="en-GB"/>
              </w:rPr>
            </w:pPr>
            <w:r w:rsidRPr="00B9545E">
              <w:rPr>
                <w:rFonts w:ascii="Calibri" w:hAnsi="Calibri" w:cs="Calibri"/>
              </w:rPr>
              <w:t>1</w:t>
            </w:r>
          </w:p>
        </w:tc>
      </w:tr>
      <w:tr w:rsidR="00161B74" w14:paraId="619542C9" w14:textId="77777777" w:rsidTr="73E20EA6">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11B3C6" w14:textId="77777777" w:rsidR="00161B74" w:rsidRDefault="00161B74">
            <w:pPr>
              <w:pStyle w:val="TAC"/>
              <w:rPr>
                <w:lang w:val="en-GB"/>
              </w:rPr>
            </w:pPr>
            <w:r>
              <w:rPr>
                <w:lang w:val="en-GB"/>
              </w:rPr>
              <w:t>candidateRep-O</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2AA6D7" w14:textId="77777777" w:rsidR="00161B74" w:rsidRDefault="00161B74">
            <w:pPr>
              <w:pStyle w:val="TAC"/>
              <w:rPr>
                <w:lang w:val="en-GB"/>
              </w:rPr>
            </w:pPr>
            <w:r>
              <w:rPr>
                <w:lang w:val="en-GB"/>
              </w:rPr>
              <w:t>1</w:t>
            </w:r>
          </w:p>
        </w:tc>
        <w:tc>
          <w:tcPr>
            <w:tcW w:w="4837" w:type="dxa"/>
            <w:tcBorders>
              <w:top w:val="nil"/>
              <w:left w:val="nil"/>
              <w:bottom w:val="single" w:sz="8" w:space="0" w:color="auto"/>
              <w:right w:val="single" w:sz="8" w:space="0" w:color="auto"/>
            </w:tcBorders>
            <w:hideMark/>
          </w:tcPr>
          <w:p w14:paraId="224F91B3" w14:textId="77777777" w:rsidR="00161B74" w:rsidRPr="00B9545E" w:rsidRDefault="00161B74">
            <w:pPr>
              <w:pStyle w:val="TAC"/>
              <w:rPr>
                <w:lang w:val="en-GB"/>
              </w:rPr>
            </w:pPr>
            <w:r w:rsidRPr="00B9545E">
              <w:rPr>
                <w:rFonts w:ascii="Calibri" w:hAnsi="Calibri" w:cs="Calibri"/>
              </w:rPr>
              <w:t>2</w:t>
            </w:r>
          </w:p>
        </w:tc>
      </w:tr>
    </w:tbl>
    <w:p w14:paraId="36301327" w14:textId="16FB3E1F" w:rsidR="00161B74" w:rsidRDefault="00161B74" w:rsidP="00161B74">
      <w:pPr>
        <w:ind w:left="720"/>
        <w:jc w:val="center"/>
        <w:rPr>
          <w:rFonts w:eastAsiaTheme="minorHAnsi"/>
          <w:sz w:val="16"/>
          <w:szCs w:val="16"/>
        </w:rPr>
      </w:pPr>
    </w:p>
    <w:p w14:paraId="457431C5" w14:textId="14916784" w:rsidR="00B9545E" w:rsidRDefault="00161B74" w:rsidP="00B9545E">
      <w:pPr>
        <w:keepNext/>
        <w:ind w:left="720"/>
        <w:jc w:val="center"/>
        <w:rPr>
          <w:b/>
          <w:bCs/>
          <w:sz w:val="16"/>
          <w:szCs w:val="16"/>
          <w:lang w:val="en-US" w:eastAsia="en-US"/>
        </w:rPr>
      </w:pPr>
      <w:r w:rsidRPr="00161B74">
        <w:rPr>
          <w:b/>
          <w:bCs/>
          <w:sz w:val="16"/>
          <w:szCs w:val="16"/>
        </w:rPr>
        <w:t xml:space="preserve">Table </w:t>
      </w:r>
      <w:r w:rsidR="00205683">
        <w:rPr>
          <w:b/>
          <w:bCs/>
          <w:sz w:val="16"/>
          <w:szCs w:val="16"/>
        </w:rPr>
        <w:t>4d:</w:t>
      </w:r>
      <w:r w:rsidRPr="00161B74">
        <w:rPr>
          <w:b/>
          <w:bCs/>
          <w:sz w:val="16"/>
          <w:szCs w:val="16"/>
        </w:rPr>
        <w:t xml:space="preserve"> NB-IoT 16-QAM CQI index</w:t>
      </w:r>
    </w:p>
    <w:tbl>
      <w:tblPr>
        <w:tblW w:w="0" w:type="auto"/>
        <w:jc w:val="center"/>
        <w:tblCellMar>
          <w:left w:w="0" w:type="dxa"/>
          <w:right w:w="0" w:type="dxa"/>
        </w:tblCellMar>
        <w:tblLook w:val="04A0" w:firstRow="1" w:lastRow="0" w:firstColumn="1" w:lastColumn="0" w:noHBand="0" w:noVBand="1"/>
      </w:tblPr>
      <w:tblGrid>
        <w:gridCol w:w="1057"/>
        <w:gridCol w:w="1816"/>
        <w:gridCol w:w="1620"/>
      </w:tblGrid>
      <w:tr w:rsidR="00B9545E" w14:paraId="5D072B8F" w14:textId="77777777" w:rsidTr="00B9545E">
        <w:trPr>
          <w:trHeight w:val="163"/>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A628F6" w14:textId="77777777" w:rsidR="00B9545E" w:rsidRDefault="00B9545E">
            <w:pPr>
              <w:keepNext/>
              <w:jc w:val="center"/>
              <w:rPr>
                <w:rFonts w:ascii="Arial" w:hAnsi="Arial" w:cs="Arial"/>
                <w:b/>
                <w:bCs/>
                <w:sz w:val="18"/>
                <w:szCs w:val="18"/>
                <w:lang w:val="sv-SE"/>
              </w:rPr>
            </w:pPr>
            <w:r>
              <w:rPr>
                <w:rFonts w:ascii="Arial" w:hAnsi="Arial" w:cs="Arial"/>
                <w:b/>
                <w:bCs/>
                <w:sz w:val="18"/>
                <w:szCs w:val="18"/>
              </w:rPr>
              <w:t>CQI Index</w:t>
            </w:r>
          </w:p>
        </w:tc>
        <w:tc>
          <w:tcPr>
            <w:tcW w:w="34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E2967" w14:textId="77777777" w:rsidR="00B9545E" w:rsidRDefault="00B9545E">
            <w:pPr>
              <w:keepNext/>
              <w:jc w:val="center"/>
              <w:rPr>
                <w:rFonts w:ascii="Arial" w:hAnsi="Arial" w:cs="Arial"/>
                <w:b/>
                <w:bCs/>
                <w:sz w:val="18"/>
                <w:szCs w:val="18"/>
              </w:rPr>
            </w:pPr>
            <w:r>
              <w:rPr>
                <w:rFonts w:ascii="Arial" w:hAnsi="Arial" w:cs="Arial"/>
                <w:b/>
                <w:bCs/>
                <w:sz w:val="18"/>
                <w:szCs w:val="18"/>
              </w:rPr>
              <w:t>I</w:t>
            </w:r>
            <w:r>
              <w:rPr>
                <w:rFonts w:ascii="Arial" w:hAnsi="Arial" w:cs="Arial"/>
                <w:b/>
                <w:bCs/>
                <w:sz w:val="18"/>
                <w:szCs w:val="18"/>
                <w:vertAlign w:val="subscript"/>
              </w:rPr>
              <w:t xml:space="preserve">TBS </w:t>
            </w:r>
            <w:r>
              <w:rPr>
                <w:rFonts w:ascii="Arial" w:hAnsi="Arial" w:cs="Arial"/>
                <w:b/>
                <w:bCs/>
                <w:sz w:val="18"/>
                <w:szCs w:val="18"/>
              </w:rPr>
              <w:t>index</w:t>
            </w:r>
          </w:p>
        </w:tc>
      </w:tr>
      <w:tr w:rsidR="00B9545E" w14:paraId="2172373F" w14:textId="77777777" w:rsidTr="00B9545E">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71EF04D" w14:textId="77777777" w:rsidR="00B9545E" w:rsidRDefault="00B9545E">
            <w:pPr>
              <w:keepNext/>
              <w:jc w:val="center"/>
              <w:rPr>
                <w:rFonts w:ascii="Arial" w:hAnsi="Arial" w:cs="Arial"/>
                <w:sz w:val="18"/>
                <w:szCs w:val="18"/>
              </w:rPr>
            </w:pP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78F5B4A1" w14:textId="77777777" w:rsidR="00B9545E" w:rsidRPr="00B9545E" w:rsidRDefault="00B9545E">
            <w:pPr>
              <w:pStyle w:val="TAH"/>
              <w:rPr>
                <w:rFonts w:cs="Arial"/>
                <w:szCs w:val="18"/>
              </w:rPr>
            </w:pPr>
            <w:r w:rsidRPr="00B9545E">
              <w:rPr>
                <w:lang w:val="de-DE"/>
              </w:rPr>
              <w:t>Guard-band and Stand-alone deployments</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051F6BAB" w14:textId="77777777" w:rsidR="00B9545E" w:rsidRPr="00B9545E" w:rsidRDefault="00B9545E">
            <w:pPr>
              <w:pStyle w:val="TAH"/>
              <w:rPr>
                <w:sz w:val="20"/>
                <w:lang w:val="de-DE"/>
              </w:rPr>
            </w:pPr>
            <w:r w:rsidRPr="00B9545E">
              <w:rPr>
                <w:lang w:val="de-DE"/>
              </w:rPr>
              <w:t>In-band deployments</w:t>
            </w:r>
          </w:p>
        </w:tc>
      </w:tr>
      <w:tr w:rsidR="00B9545E" w14:paraId="737F557C" w14:textId="77777777" w:rsidTr="00B9545E">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BE213D" w14:textId="77777777" w:rsidR="00B9545E" w:rsidRDefault="00B9545E">
            <w:pPr>
              <w:keepNext/>
              <w:jc w:val="center"/>
              <w:rPr>
                <w:rFonts w:ascii="Arial" w:hAnsi="Arial" w:cs="Arial"/>
                <w:sz w:val="18"/>
                <w:szCs w:val="18"/>
                <w:lang w:val="sv-SE"/>
              </w:rPr>
            </w:pPr>
            <w:r>
              <w:rPr>
                <w:rFonts w:ascii="Arial" w:hAnsi="Arial" w:cs="Arial"/>
                <w:sz w:val="18"/>
                <w:szCs w:val="18"/>
              </w:rPr>
              <w:t>0</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5A0DE139" w14:textId="77777777" w:rsidR="00B9545E" w:rsidRPr="00B9545E" w:rsidRDefault="00B9545E">
            <w:pPr>
              <w:keepNext/>
              <w:jc w:val="center"/>
              <w:rPr>
                <w:rFonts w:ascii="Arial" w:hAnsi="Arial" w:cs="Arial"/>
                <w:sz w:val="18"/>
                <w:szCs w:val="18"/>
              </w:rPr>
            </w:pPr>
            <w:r w:rsidRPr="00B9545E">
              <w:rPr>
                <w:rFonts w:ascii="Arial" w:hAnsi="Arial" w:cs="Arial"/>
                <w:sz w:val="18"/>
                <w:szCs w:val="18"/>
              </w:rPr>
              <w:t>17</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61862D29" w14:textId="77777777" w:rsidR="00B9545E" w:rsidRPr="00B9545E" w:rsidRDefault="00B9545E">
            <w:pPr>
              <w:keepNext/>
              <w:jc w:val="center"/>
              <w:rPr>
                <w:rFonts w:ascii="Arial" w:hAnsi="Arial" w:cs="Arial"/>
                <w:sz w:val="18"/>
                <w:szCs w:val="18"/>
              </w:rPr>
            </w:pPr>
            <w:r w:rsidRPr="00B9545E">
              <w:rPr>
                <w:rFonts w:ascii="Arial" w:hAnsi="Arial" w:cs="Arial"/>
                <w:sz w:val="18"/>
                <w:szCs w:val="18"/>
              </w:rPr>
              <w:t>13</w:t>
            </w:r>
          </w:p>
        </w:tc>
      </w:tr>
      <w:tr w:rsidR="00B9545E" w14:paraId="564135FB" w14:textId="77777777" w:rsidTr="00B9545E">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FF5CD8" w14:textId="77777777" w:rsidR="00B9545E" w:rsidRDefault="00B9545E">
            <w:pPr>
              <w:keepNext/>
              <w:jc w:val="center"/>
              <w:rPr>
                <w:rFonts w:ascii="Arial" w:hAnsi="Arial" w:cs="Arial"/>
                <w:sz w:val="18"/>
                <w:szCs w:val="18"/>
              </w:rPr>
            </w:pPr>
            <w:r>
              <w:rPr>
                <w:rFonts w:ascii="Arial" w:hAnsi="Arial" w:cs="Arial"/>
                <w:sz w:val="18"/>
                <w:szCs w:val="18"/>
              </w:rPr>
              <w:t>1</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3D99D2C4" w14:textId="77777777" w:rsidR="00B9545E" w:rsidRPr="00B9545E" w:rsidRDefault="00B9545E">
            <w:pPr>
              <w:keepNext/>
              <w:jc w:val="center"/>
              <w:rPr>
                <w:rFonts w:ascii="Arial" w:hAnsi="Arial" w:cs="Arial"/>
                <w:sz w:val="18"/>
                <w:szCs w:val="18"/>
              </w:rPr>
            </w:pPr>
            <w:r w:rsidRPr="00B9545E">
              <w:rPr>
                <w:rFonts w:ascii="Arial" w:hAnsi="Arial" w:cs="Arial"/>
                <w:sz w:val="18"/>
                <w:szCs w:val="18"/>
              </w:rPr>
              <w:t>20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51376C43" w14:textId="77777777" w:rsidR="00B9545E" w:rsidRPr="00B9545E" w:rsidRDefault="00B9545E">
            <w:pPr>
              <w:keepNext/>
              <w:jc w:val="center"/>
              <w:rPr>
                <w:rFonts w:ascii="Arial" w:hAnsi="Arial" w:cs="Arial"/>
                <w:sz w:val="18"/>
                <w:szCs w:val="18"/>
              </w:rPr>
            </w:pPr>
            <w:r w:rsidRPr="00B9545E">
              <w:rPr>
                <w:rFonts w:ascii="Arial" w:hAnsi="Arial" w:cs="Arial"/>
                <w:sz w:val="18"/>
                <w:szCs w:val="18"/>
              </w:rPr>
              <w:t>16</w:t>
            </w:r>
          </w:p>
        </w:tc>
      </w:tr>
      <w:tr w:rsidR="00B9545E" w14:paraId="3506E6A2" w14:textId="77777777" w:rsidTr="00B9545E">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C0D0C0" w14:textId="77777777" w:rsidR="00B9545E" w:rsidRDefault="00B9545E">
            <w:pPr>
              <w:keepNext/>
              <w:jc w:val="center"/>
              <w:rPr>
                <w:rFonts w:ascii="Arial" w:hAnsi="Arial" w:cs="Arial"/>
                <w:sz w:val="18"/>
                <w:szCs w:val="18"/>
              </w:rPr>
            </w:pPr>
            <w:r>
              <w:rPr>
                <w:rFonts w:ascii="Arial" w:hAnsi="Arial" w:cs="Arial"/>
                <w:sz w:val="18"/>
                <w:szCs w:val="18"/>
              </w:rPr>
              <w:t>2</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6615252C" w14:textId="77777777" w:rsidR="00B9545E" w:rsidRPr="00B9545E" w:rsidRDefault="00B9545E">
            <w:pPr>
              <w:keepNext/>
              <w:jc w:val="center"/>
              <w:rPr>
                <w:rFonts w:ascii="Arial" w:hAnsi="Arial" w:cs="Arial"/>
                <w:sz w:val="18"/>
                <w:szCs w:val="18"/>
              </w:rPr>
            </w:pPr>
            <w:r w:rsidRPr="00B9545E">
              <w:rPr>
                <w:rFonts w:ascii="Arial" w:hAnsi="Arial" w:cs="Arial"/>
                <w:sz w:val="18"/>
                <w:szCs w:val="18"/>
              </w:rPr>
              <w:t>21</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543FF781" w14:textId="77777777" w:rsidR="00B9545E" w:rsidRPr="00B9545E" w:rsidRDefault="00B9545E">
            <w:pPr>
              <w:keepNext/>
              <w:jc w:val="center"/>
              <w:rPr>
                <w:rFonts w:ascii="Arial" w:hAnsi="Arial" w:cs="Arial"/>
                <w:sz w:val="18"/>
                <w:szCs w:val="18"/>
              </w:rPr>
            </w:pPr>
            <w:r w:rsidRPr="00B9545E">
              <w:rPr>
                <w:rFonts w:ascii="Arial" w:hAnsi="Arial" w:cs="Arial"/>
                <w:sz w:val="18"/>
                <w:szCs w:val="18"/>
              </w:rPr>
              <w:t>17</w:t>
            </w:r>
          </w:p>
        </w:tc>
      </w:tr>
    </w:tbl>
    <w:p w14:paraId="64CA955D" w14:textId="77777777" w:rsidR="00B9545E" w:rsidRDefault="00B9545E" w:rsidP="00B9545E">
      <w:pPr>
        <w:ind w:left="720"/>
        <w:jc w:val="both"/>
        <w:rPr>
          <w:rFonts w:eastAsiaTheme="minorHAnsi"/>
        </w:rPr>
      </w:pPr>
    </w:p>
    <w:p w14:paraId="10B3223E" w14:textId="43E2514D" w:rsidR="00321BE0" w:rsidRPr="002248AB" w:rsidRDefault="00205683" w:rsidP="002248AB">
      <w:pPr>
        <w:jc w:val="both"/>
      </w:pPr>
      <w:r w:rsidRPr="00205683">
        <w:t>T</w:t>
      </w:r>
      <w:r w:rsidR="00B05BBB">
        <w:t xml:space="preserve">he reading of Table 4c and 4d </w:t>
      </w:r>
      <w:r>
        <w:t>above means</w:t>
      </w:r>
      <w:r w:rsidRPr="00205683">
        <w:t xml:space="preserve"> that when the UE reports for example CQI index 0</w:t>
      </w:r>
      <w:r w:rsidR="00574146">
        <w:t xml:space="preserve"> for guard-band and stand-alone deployments</w:t>
      </w:r>
      <w:r w:rsidRPr="00205683">
        <w:t xml:space="preserve">, the UE </w:t>
      </w:r>
      <w:r w:rsidR="00574146">
        <w:t xml:space="preserve">would be </w:t>
      </w:r>
      <w:r w:rsidRPr="00205683">
        <w:t>suggesting to the eNodeB that the radio conditions are suitable as to use a smaller or up to the large</w:t>
      </w:r>
      <w:r>
        <w:t>st</w:t>
      </w:r>
      <w:r w:rsidRPr="00205683">
        <w:t xml:space="preserve"> transport block given by I</w:t>
      </w:r>
      <w:r w:rsidRPr="00205683">
        <w:rPr>
          <w:vertAlign w:val="subscript"/>
        </w:rPr>
        <w:t>TBS</w:t>
      </w:r>
      <w:r w:rsidRPr="00205683">
        <w:t xml:space="preserve"> index 17, being up to the eNodeB to decide which transport block to schedule</w:t>
      </w:r>
      <w:r>
        <w:t>.</w:t>
      </w:r>
    </w:p>
    <w:p w14:paraId="3A7C5375" w14:textId="6E01971D" w:rsidR="00335BDE" w:rsidRDefault="000D0D55" w:rsidP="000D0D55">
      <w:pPr>
        <w:pStyle w:val="Observation"/>
        <w:ind w:left="1701" w:hanging="1701"/>
        <w:rPr>
          <w:lang w:val="en-US"/>
        </w:rPr>
      </w:pPr>
      <w:bookmarkStart w:id="17" w:name="_Toc71635375"/>
      <w:r w:rsidRPr="452B8CE5">
        <w:rPr>
          <w:lang w:val="en-US"/>
        </w:rPr>
        <w:t xml:space="preserve">The legacy CQI mapping table in TS 36.133 clause 9.1.22.15 currently uses 13 out of 16 entries, hence the three unused fields could be utilized to incorporate the </w:t>
      </w:r>
      <w:r w:rsidR="009A073A" w:rsidRPr="452B8CE5">
        <w:rPr>
          <w:lang w:val="en-US"/>
        </w:rPr>
        <w:t xml:space="preserve">channel quality </w:t>
      </w:r>
      <w:r w:rsidRPr="452B8CE5">
        <w:rPr>
          <w:lang w:val="en-US"/>
        </w:rPr>
        <w:t>reporting for 16-QAM in DL.</w:t>
      </w:r>
      <w:bookmarkEnd w:id="17"/>
    </w:p>
    <w:p w14:paraId="3598E6E2" w14:textId="58ECB58F" w:rsidR="007833D7" w:rsidRDefault="007833D7" w:rsidP="000D0D55">
      <w:pPr>
        <w:pStyle w:val="Observation"/>
        <w:ind w:left="1701" w:hanging="1701"/>
        <w:rPr>
          <w:lang w:val="en-US"/>
        </w:rPr>
      </w:pPr>
      <w:bookmarkStart w:id="18" w:name="_Toc71635376"/>
      <w:r>
        <w:rPr>
          <w:lang w:val="en-US"/>
        </w:rPr>
        <w:t>For the TBS/MCS table for DL, t</w:t>
      </w:r>
      <w:r w:rsidRPr="007833D7">
        <w:rPr>
          <w:lang w:val="en-US"/>
        </w:rPr>
        <w:t>he step-size between I</w:t>
      </w:r>
      <w:r w:rsidRPr="007833D7">
        <w:rPr>
          <w:vertAlign w:val="subscript"/>
          <w:lang w:val="en-US"/>
        </w:rPr>
        <w:t>TBS</w:t>
      </w:r>
      <w:r w:rsidRPr="007833D7">
        <w:rPr>
          <w:lang w:val="en-US"/>
        </w:rPr>
        <w:t xml:space="preserve"> indices is in most cases smaller than 1dB, which is a level of granularity that might be unfeasible in terms of NRS. </w:t>
      </w:r>
      <w:r>
        <w:rPr>
          <w:lang w:val="en-US"/>
        </w:rPr>
        <w:t xml:space="preserve">Today the </w:t>
      </w:r>
      <w:r w:rsidRPr="007833D7">
        <w:rPr>
          <w:lang w:val="en-US"/>
        </w:rPr>
        <w:t>channel quality reporting is specified for each repetition level 1, 2, 4, 8, …, which means that</w:t>
      </w:r>
      <w:r>
        <w:rPr>
          <w:lang w:val="en-US"/>
        </w:rPr>
        <w:t xml:space="preserve"> in legacy</w:t>
      </w:r>
      <w:r w:rsidRPr="007833D7">
        <w:rPr>
          <w:lang w:val="en-US"/>
        </w:rPr>
        <w:t xml:space="preserve"> the step size is 3dB.</w:t>
      </w:r>
      <w:bookmarkEnd w:id="18"/>
      <w:r w:rsidRPr="007833D7">
        <w:rPr>
          <w:lang w:val="en-US"/>
        </w:rPr>
        <w:t xml:space="preserve"> </w:t>
      </w:r>
    </w:p>
    <w:p w14:paraId="77DE1B2D" w14:textId="72AFE819" w:rsidR="007833D7" w:rsidRPr="00896913" w:rsidRDefault="007833D7" w:rsidP="000D0D55">
      <w:pPr>
        <w:pStyle w:val="Observation"/>
        <w:ind w:left="1701" w:hanging="1701"/>
        <w:rPr>
          <w:lang w:val="en-US"/>
        </w:rPr>
      </w:pPr>
      <w:bookmarkStart w:id="19" w:name="_Toc71635377"/>
      <w:r w:rsidRPr="007833D7">
        <w:rPr>
          <w:lang w:val="en-US"/>
        </w:rPr>
        <w:t>In Rel-17</w:t>
      </w:r>
      <w:r>
        <w:rPr>
          <w:lang w:val="en-US"/>
        </w:rPr>
        <w:t xml:space="preserve">, </w:t>
      </w:r>
      <w:r w:rsidRPr="007833D7">
        <w:rPr>
          <w:lang w:val="en-US"/>
        </w:rPr>
        <w:t>the full range of I</w:t>
      </w:r>
      <w:r w:rsidRPr="007833D7">
        <w:rPr>
          <w:vertAlign w:val="subscript"/>
          <w:lang w:val="en-US"/>
        </w:rPr>
        <w:t>TBS</w:t>
      </w:r>
      <w:r w:rsidRPr="007833D7">
        <w:rPr>
          <w:lang w:val="en-US"/>
        </w:rPr>
        <w:t xml:space="preserve"> indices (14 to 21 and 11 to 17 depending on the deployment mode) </w:t>
      </w:r>
      <w:r>
        <w:rPr>
          <w:lang w:val="en-US"/>
        </w:rPr>
        <w:t xml:space="preserve">can be covered </w:t>
      </w:r>
      <w:r w:rsidRPr="007833D7">
        <w:rPr>
          <w:lang w:val="en-US"/>
        </w:rPr>
        <w:t>using only three candidate reports (i.e., candidateRep-M, candidateRep-N, or candidateRep-O)</w:t>
      </w:r>
      <w:r>
        <w:rPr>
          <w:lang w:val="en-US"/>
        </w:rPr>
        <w:t xml:space="preserve"> as to have a feasible </w:t>
      </w:r>
      <w:r w:rsidR="00841865">
        <w:rPr>
          <w:lang w:val="en-US"/>
        </w:rPr>
        <w:t>level of granularity</w:t>
      </w:r>
      <w:r>
        <w:rPr>
          <w:lang w:val="en-US"/>
        </w:rPr>
        <w:t xml:space="preserve"> with step-sizes larger than 1dB.</w:t>
      </w:r>
      <w:bookmarkEnd w:id="19"/>
    </w:p>
    <w:p w14:paraId="1298FECA" w14:textId="6F305E65" w:rsidR="001D2176" w:rsidRDefault="001D2176" w:rsidP="002248AB">
      <w:pPr>
        <w:pStyle w:val="Proposal"/>
      </w:pPr>
      <w:bookmarkStart w:id="20" w:name="_Toc71635397"/>
      <w:r>
        <w:t xml:space="preserve">The three unused entries in the legacy CQI mapping Table in </w:t>
      </w:r>
      <w:r w:rsidRPr="001D2176">
        <w:t>clause 9.1.22.15</w:t>
      </w:r>
      <w:r>
        <w:t xml:space="preserve"> of TS 36.1</w:t>
      </w:r>
      <w:r w:rsidR="004742AE">
        <w:t>3</w:t>
      </w:r>
      <w:r>
        <w:t>3</w:t>
      </w:r>
      <w:r w:rsidRPr="001D2176">
        <w:t xml:space="preserve"> </w:t>
      </w:r>
      <w:r>
        <w:t xml:space="preserve">(i.e., </w:t>
      </w:r>
      <w:r w:rsidRPr="001D2176">
        <w:t>Table 9.1.22.15-1</w:t>
      </w:r>
      <w:r>
        <w:t>) are used for the CQI reporting of 16-QAM in DL.</w:t>
      </w:r>
      <w:bookmarkEnd w:id="20"/>
    </w:p>
    <w:tbl>
      <w:tblPr>
        <w:tblW w:w="9062" w:type="dxa"/>
        <w:jc w:val="center"/>
        <w:tblCellMar>
          <w:left w:w="0" w:type="dxa"/>
          <w:right w:w="0" w:type="dxa"/>
        </w:tblCellMar>
        <w:tblLook w:val="04A0" w:firstRow="1" w:lastRow="0" w:firstColumn="1" w:lastColumn="0" w:noHBand="0" w:noVBand="1"/>
      </w:tblPr>
      <w:tblGrid>
        <w:gridCol w:w="1550"/>
        <w:gridCol w:w="2675"/>
        <w:gridCol w:w="4837"/>
      </w:tblGrid>
      <w:tr w:rsidR="002248AB" w14:paraId="61DBBDC4" w14:textId="77777777" w:rsidTr="00263866">
        <w:trPr>
          <w:trHeight w:val="76"/>
          <w:jc w:val="center"/>
        </w:trPr>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04659E" w14:textId="77777777" w:rsidR="002248AB" w:rsidRDefault="002248AB" w:rsidP="00263866">
            <w:pPr>
              <w:pStyle w:val="TAH"/>
              <w:rPr>
                <w:rFonts w:cs="Arial"/>
                <w:lang w:eastAsia="en-US"/>
              </w:rPr>
            </w:pPr>
            <w:r>
              <w:lastRenderedPageBreak/>
              <w:t>Reported value</w:t>
            </w:r>
          </w:p>
        </w:tc>
        <w:tc>
          <w:tcPr>
            <w:tcW w:w="26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ABB383D" w14:textId="77777777" w:rsidR="002248AB" w:rsidRDefault="002248AB" w:rsidP="00263866">
            <w:pPr>
              <w:pStyle w:val="TAH"/>
              <w:rPr>
                <w:sz w:val="22"/>
                <w:szCs w:val="22"/>
                <w:lang w:val="sv-SE"/>
              </w:rPr>
            </w:pPr>
            <w:r>
              <w:t>NPDCCH repetition level</w:t>
            </w:r>
          </w:p>
        </w:tc>
        <w:tc>
          <w:tcPr>
            <w:tcW w:w="4837" w:type="dxa"/>
            <w:tcBorders>
              <w:top w:val="single" w:sz="8" w:space="0" w:color="auto"/>
              <w:left w:val="nil"/>
              <w:bottom w:val="single" w:sz="8" w:space="0" w:color="auto"/>
              <w:right w:val="single" w:sz="8" w:space="0" w:color="auto"/>
            </w:tcBorders>
            <w:hideMark/>
          </w:tcPr>
          <w:p w14:paraId="0B694DD6" w14:textId="54337870" w:rsidR="002248AB" w:rsidRDefault="002248AB" w:rsidP="00263866">
            <w:pPr>
              <w:pStyle w:val="TAH"/>
              <w:rPr>
                <w:sz w:val="20"/>
                <w:lang w:eastAsia="sv-SE"/>
              </w:rPr>
            </w:pPr>
            <w:r>
              <w:t xml:space="preserve">16-QAM </w:t>
            </w:r>
            <w:r w:rsidRPr="00161B74">
              <w:t>CQI</w:t>
            </w:r>
            <w:r>
              <w:t xml:space="preserve"> index with </w:t>
            </w:r>
            <w:r w:rsidR="005207FB" w:rsidRPr="005207FB">
              <w:rPr>
                <w:lang w:val="en-US"/>
              </w:rPr>
              <w:t>N</w:t>
            </w:r>
            <w:r w:rsidR="005207FB">
              <w:rPr>
                <w:lang w:val="en-US"/>
              </w:rPr>
              <w:t xml:space="preserve">PDSCH </w:t>
            </w:r>
            <w:r>
              <w:t>transport block error probability not exceeding 0.1</w:t>
            </w:r>
          </w:p>
        </w:tc>
      </w:tr>
      <w:tr w:rsidR="002248AB" w14:paraId="697E1633" w14:textId="77777777" w:rsidTr="00263866">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0BFCCB" w14:textId="77777777" w:rsidR="002248AB" w:rsidRDefault="002248AB" w:rsidP="00263866">
            <w:pPr>
              <w:pStyle w:val="TAC"/>
              <w:rPr>
                <w:szCs w:val="18"/>
                <w:lang w:val="en-GB"/>
              </w:rPr>
            </w:pPr>
            <w:r>
              <w:rPr>
                <w:lang w:val="en-GB"/>
              </w:rPr>
              <w:t>candidateRep-M</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EDC37F" w14:textId="77777777" w:rsidR="002248AB" w:rsidRDefault="002248AB" w:rsidP="00263866">
            <w:pPr>
              <w:pStyle w:val="TAC"/>
              <w:rPr>
                <w:sz w:val="20"/>
                <w:lang w:val="en-GB"/>
              </w:rPr>
            </w:pPr>
            <w:r>
              <w:rPr>
                <w:lang w:val="en-GB"/>
              </w:rPr>
              <w:t>1</w:t>
            </w:r>
          </w:p>
        </w:tc>
        <w:tc>
          <w:tcPr>
            <w:tcW w:w="4837" w:type="dxa"/>
            <w:tcBorders>
              <w:top w:val="nil"/>
              <w:left w:val="nil"/>
              <w:bottom w:val="single" w:sz="8" w:space="0" w:color="auto"/>
              <w:right w:val="single" w:sz="8" w:space="0" w:color="auto"/>
            </w:tcBorders>
            <w:hideMark/>
          </w:tcPr>
          <w:p w14:paraId="4071D17A" w14:textId="77777777" w:rsidR="002248AB" w:rsidRPr="00B9545E" w:rsidRDefault="002248AB" w:rsidP="00263866">
            <w:pPr>
              <w:pStyle w:val="TAC"/>
              <w:rPr>
                <w:lang w:val="en-GB"/>
              </w:rPr>
            </w:pPr>
            <w:r w:rsidRPr="00B9545E">
              <w:rPr>
                <w:rFonts w:ascii="Calibri" w:hAnsi="Calibri" w:cs="Calibri"/>
              </w:rPr>
              <w:t>0</w:t>
            </w:r>
          </w:p>
        </w:tc>
      </w:tr>
      <w:tr w:rsidR="002248AB" w14:paraId="390742DB" w14:textId="77777777" w:rsidTr="00263866">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269D69" w14:textId="77777777" w:rsidR="002248AB" w:rsidRDefault="002248AB" w:rsidP="00263866">
            <w:pPr>
              <w:pStyle w:val="TAC"/>
              <w:rPr>
                <w:lang w:val="en-GB"/>
              </w:rPr>
            </w:pPr>
            <w:r>
              <w:rPr>
                <w:lang w:val="en-GB"/>
              </w:rPr>
              <w:t>candidateRep-N</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719AC9" w14:textId="77777777" w:rsidR="002248AB" w:rsidRDefault="002248AB" w:rsidP="00263866">
            <w:pPr>
              <w:pStyle w:val="TAC"/>
              <w:rPr>
                <w:lang w:val="en-GB"/>
              </w:rPr>
            </w:pPr>
            <w:r>
              <w:rPr>
                <w:lang w:val="en-GB"/>
              </w:rPr>
              <w:t>1</w:t>
            </w:r>
          </w:p>
        </w:tc>
        <w:tc>
          <w:tcPr>
            <w:tcW w:w="4837" w:type="dxa"/>
            <w:tcBorders>
              <w:top w:val="nil"/>
              <w:left w:val="nil"/>
              <w:bottom w:val="single" w:sz="8" w:space="0" w:color="auto"/>
              <w:right w:val="single" w:sz="8" w:space="0" w:color="auto"/>
            </w:tcBorders>
            <w:hideMark/>
          </w:tcPr>
          <w:p w14:paraId="024C0277" w14:textId="77777777" w:rsidR="002248AB" w:rsidRPr="00B9545E" w:rsidRDefault="002248AB" w:rsidP="00263866">
            <w:pPr>
              <w:pStyle w:val="TAC"/>
              <w:rPr>
                <w:lang w:val="en-GB"/>
              </w:rPr>
            </w:pPr>
            <w:r w:rsidRPr="00B9545E">
              <w:rPr>
                <w:rFonts w:ascii="Calibri" w:hAnsi="Calibri" w:cs="Calibri"/>
              </w:rPr>
              <w:t>1</w:t>
            </w:r>
          </w:p>
        </w:tc>
      </w:tr>
      <w:tr w:rsidR="002248AB" w14:paraId="0FEB42A4" w14:textId="77777777" w:rsidTr="00263866">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9CAB2B" w14:textId="77777777" w:rsidR="002248AB" w:rsidRDefault="002248AB" w:rsidP="00263866">
            <w:pPr>
              <w:pStyle w:val="TAC"/>
              <w:rPr>
                <w:lang w:val="en-GB"/>
              </w:rPr>
            </w:pPr>
            <w:r>
              <w:rPr>
                <w:lang w:val="en-GB"/>
              </w:rPr>
              <w:t>candidateRep-O</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5F78C6" w14:textId="77777777" w:rsidR="002248AB" w:rsidRDefault="002248AB" w:rsidP="00263866">
            <w:pPr>
              <w:pStyle w:val="TAC"/>
              <w:rPr>
                <w:lang w:val="en-GB"/>
              </w:rPr>
            </w:pPr>
            <w:r>
              <w:rPr>
                <w:lang w:val="en-GB"/>
              </w:rPr>
              <w:t>1</w:t>
            </w:r>
          </w:p>
        </w:tc>
        <w:tc>
          <w:tcPr>
            <w:tcW w:w="4837" w:type="dxa"/>
            <w:tcBorders>
              <w:top w:val="nil"/>
              <w:left w:val="nil"/>
              <w:bottom w:val="single" w:sz="8" w:space="0" w:color="auto"/>
              <w:right w:val="single" w:sz="8" w:space="0" w:color="auto"/>
            </w:tcBorders>
            <w:hideMark/>
          </w:tcPr>
          <w:p w14:paraId="20A909D7" w14:textId="77777777" w:rsidR="002248AB" w:rsidRPr="00B9545E" w:rsidRDefault="002248AB" w:rsidP="00263866">
            <w:pPr>
              <w:pStyle w:val="TAC"/>
              <w:rPr>
                <w:lang w:val="en-GB"/>
              </w:rPr>
            </w:pPr>
            <w:r w:rsidRPr="00B9545E">
              <w:rPr>
                <w:rFonts w:ascii="Calibri" w:hAnsi="Calibri" w:cs="Calibri"/>
              </w:rPr>
              <w:t>2</w:t>
            </w:r>
          </w:p>
        </w:tc>
      </w:tr>
    </w:tbl>
    <w:p w14:paraId="7B562633" w14:textId="676B16C1" w:rsidR="002248AB" w:rsidRDefault="002248AB" w:rsidP="002248AB">
      <w:pPr>
        <w:pStyle w:val="Proposal"/>
        <w:numPr>
          <w:ilvl w:val="0"/>
          <w:numId w:val="0"/>
        </w:numPr>
        <w:ind w:left="1701"/>
      </w:pPr>
    </w:p>
    <w:tbl>
      <w:tblPr>
        <w:tblW w:w="0" w:type="auto"/>
        <w:jc w:val="center"/>
        <w:tblCellMar>
          <w:left w:w="0" w:type="dxa"/>
          <w:right w:w="0" w:type="dxa"/>
        </w:tblCellMar>
        <w:tblLook w:val="04A0" w:firstRow="1" w:lastRow="0" w:firstColumn="1" w:lastColumn="0" w:noHBand="0" w:noVBand="1"/>
      </w:tblPr>
      <w:tblGrid>
        <w:gridCol w:w="1057"/>
        <w:gridCol w:w="1816"/>
        <w:gridCol w:w="1620"/>
      </w:tblGrid>
      <w:tr w:rsidR="002248AB" w14:paraId="6BC32692" w14:textId="77777777" w:rsidTr="00263866">
        <w:trPr>
          <w:trHeight w:val="163"/>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A5577C" w14:textId="77777777" w:rsidR="002248AB" w:rsidRDefault="002248AB" w:rsidP="00263866">
            <w:pPr>
              <w:keepNext/>
              <w:jc w:val="center"/>
              <w:rPr>
                <w:rFonts w:ascii="Arial" w:hAnsi="Arial" w:cs="Arial"/>
                <w:b/>
                <w:bCs/>
                <w:sz w:val="18"/>
                <w:szCs w:val="18"/>
                <w:lang w:val="sv-SE"/>
              </w:rPr>
            </w:pPr>
            <w:r>
              <w:rPr>
                <w:rFonts w:ascii="Arial" w:hAnsi="Arial" w:cs="Arial"/>
                <w:b/>
                <w:bCs/>
                <w:sz w:val="18"/>
                <w:szCs w:val="18"/>
              </w:rPr>
              <w:t>CQI Index</w:t>
            </w:r>
          </w:p>
        </w:tc>
        <w:tc>
          <w:tcPr>
            <w:tcW w:w="34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1A15CE" w14:textId="77777777" w:rsidR="002248AB" w:rsidRDefault="002248AB" w:rsidP="00263866">
            <w:pPr>
              <w:keepNext/>
              <w:jc w:val="center"/>
              <w:rPr>
                <w:rFonts w:ascii="Arial" w:hAnsi="Arial" w:cs="Arial"/>
                <w:b/>
                <w:bCs/>
                <w:sz w:val="18"/>
                <w:szCs w:val="18"/>
              </w:rPr>
            </w:pPr>
            <w:r>
              <w:rPr>
                <w:rFonts w:ascii="Arial" w:hAnsi="Arial" w:cs="Arial"/>
                <w:b/>
                <w:bCs/>
                <w:sz w:val="18"/>
                <w:szCs w:val="18"/>
              </w:rPr>
              <w:t>I</w:t>
            </w:r>
            <w:r>
              <w:rPr>
                <w:rFonts w:ascii="Arial" w:hAnsi="Arial" w:cs="Arial"/>
                <w:b/>
                <w:bCs/>
                <w:sz w:val="18"/>
                <w:szCs w:val="18"/>
                <w:vertAlign w:val="subscript"/>
              </w:rPr>
              <w:t xml:space="preserve">TBS </w:t>
            </w:r>
            <w:r>
              <w:rPr>
                <w:rFonts w:ascii="Arial" w:hAnsi="Arial" w:cs="Arial"/>
                <w:b/>
                <w:bCs/>
                <w:sz w:val="18"/>
                <w:szCs w:val="18"/>
              </w:rPr>
              <w:t>index</w:t>
            </w:r>
          </w:p>
        </w:tc>
      </w:tr>
      <w:tr w:rsidR="002248AB" w14:paraId="4F875E48" w14:textId="77777777" w:rsidTr="00263866">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8ABABB8" w14:textId="77777777" w:rsidR="002248AB" w:rsidRDefault="002248AB" w:rsidP="00263866">
            <w:pPr>
              <w:keepNext/>
              <w:jc w:val="center"/>
              <w:rPr>
                <w:rFonts w:ascii="Arial" w:hAnsi="Arial" w:cs="Arial"/>
                <w:sz w:val="18"/>
                <w:szCs w:val="18"/>
              </w:rPr>
            </w:pP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2CE79546" w14:textId="77777777" w:rsidR="002248AB" w:rsidRPr="00B9545E" w:rsidRDefault="002248AB" w:rsidP="00263866">
            <w:pPr>
              <w:pStyle w:val="TAH"/>
              <w:rPr>
                <w:rFonts w:cs="Arial"/>
                <w:szCs w:val="18"/>
              </w:rPr>
            </w:pPr>
            <w:r w:rsidRPr="00B9545E">
              <w:rPr>
                <w:lang w:val="de-DE"/>
              </w:rPr>
              <w:t>Guard-band and Stand-alone deployments</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4B5679B1" w14:textId="77777777" w:rsidR="002248AB" w:rsidRPr="00B9545E" w:rsidRDefault="002248AB" w:rsidP="00263866">
            <w:pPr>
              <w:pStyle w:val="TAH"/>
              <w:rPr>
                <w:sz w:val="20"/>
                <w:lang w:val="de-DE"/>
              </w:rPr>
            </w:pPr>
            <w:r w:rsidRPr="00B9545E">
              <w:rPr>
                <w:lang w:val="de-DE"/>
              </w:rPr>
              <w:t>In-band deployments</w:t>
            </w:r>
          </w:p>
        </w:tc>
      </w:tr>
      <w:tr w:rsidR="002248AB" w14:paraId="4038F042" w14:textId="77777777" w:rsidTr="00263866">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38C7FA" w14:textId="77777777" w:rsidR="002248AB" w:rsidRDefault="002248AB" w:rsidP="00263866">
            <w:pPr>
              <w:keepNext/>
              <w:jc w:val="center"/>
              <w:rPr>
                <w:rFonts w:ascii="Arial" w:hAnsi="Arial" w:cs="Arial"/>
                <w:sz w:val="18"/>
                <w:szCs w:val="18"/>
                <w:lang w:val="sv-SE"/>
              </w:rPr>
            </w:pPr>
            <w:r>
              <w:rPr>
                <w:rFonts w:ascii="Arial" w:hAnsi="Arial" w:cs="Arial"/>
                <w:sz w:val="18"/>
                <w:szCs w:val="18"/>
              </w:rPr>
              <w:t>0</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785C70CC" w14:textId="2BDF8FCA" w:rsidR="002248AB" w:rsidRPr="00B9545E" w:rsidRDefault="002248AB" w:rsidP="00263866">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17</w:t>
            </w:r>
            <w:r>
              <w:rPr>
                <w:rFonts w:ascii="Arial" w:hAnsi="Arial" w:cs="Arial"/>
                <w:sz w:val="18"/>
                <w:szCs w:val="18"/>
              </w:rPr>
              <w:t>]</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0D603E0B" w14:textId="78BC04EF" w:rsidR="002248AB" w:rsidRPr="00B9545E" w:rsidRDefault="002248AB" w:rsidP="00263866">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13</w:t>
            </w:r>
            <w:r>
              <w:rPr>
                <w:rFonts w:ascii="Arial" w:hAnsi="Arial" w:cs="Arial"/>
                <w:sz w:val="18"/>
                <w:szCs w:val="18"/>
              </w:rPr>
              <w:t>]</w:t>
            </w:r>
          </w:p>
        </w:tc>
      </w:tr>
      <w:tr w:rsidR="002248AB" w14:paraId="4108E223" w14:textId="77777777" w:rsidTr="00263866">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65D9A8" w14:textId="77777777" w:rsidR="002248AB" w:rsidRDefault="002248AB" w:rsidP="00263866">
            <w:pPr>
              <w:keepNext/>
              <w:jc w:val="center"/>
              <w:rPr>
                <w:rFonts w:ascii="Arial" w:hAnsi="Arial" w:cs="Arial"/>
                <w:sz w:val="18"/>
                <w:szCs w:val="18"/>
              </w:rPr>
            </w:pPr>
            <w:r>
              <w:rPr>
                <w:rFonts w:ascii="Arial" w:hAnsi="Arial" w:cs="Arial"/>
                <w:sz w:val="18"/>
                <w:szCs w:val="18"/>
              </w:rPr>
              <w:t>1</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555BFF63" w14:textId="0D12AD4F" w:rsidR="002248AB" w:rsidRPr="00B9545E" w:rsidRDefault="002248AB" w:rsidP="00263866">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20</w:t>
            </w:r>
            <w:r>
              <w:rPr>
                <w:rFonts w:ascii="Arial" w:hAnsi="Arial" w:cs="Arial"/>
                <w:sz w:val="18"/>
                <w:szCs w:val="18"/>
              </w:rPr>
              <w:t>]</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45614E62" w14:textId="4E6EF13A" w:rsidR="002248AB" w:rsidRPr="00B9545E" w:rsidRDefault="002248AB" w:rsidP="00263866">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16</w:t>
            </w:r>
            <w:r>
              <w:rPr>
                <w:rFonts w:ascii="Arial" w:hAnsi="Arial" w:cs="Arial"/>
                <w:sz w:val="18"/>
                <w:szCs w:val="18"/>
              </w:rPr>
              <w:t>]</w:t>
            </w:r>
          </w:p>
        </w:tc>
      </w:tr>
      <w:tr w:rsidR="002248AB" w14:paraId="77B77A3C" w14:textId="77777777" w:rsidTr="00263866">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D83F12" w14:textId="77777777" w:rsidR="002248AB" w:rsidRDefault="002248AB" w:rsidP="00263866">
            <w:pPr>
              <w:keepNext/>
              <w:jc w:val="center"/>
              <w:rPr>
                <w:rFonts w:ascii="Arial" w:hAnsi="Arial" w:cs="Arial"/>
                <w:sz w:val="18"/>
                <w:szCs w:val="18"/>
              </w:rPr>
            </w:pPr>
            <w:r>
              <w:rPr>
                <w:rFonts w:ascii="Arial" w:hAnsi="Arial" w:cs="Arial"/>
                <w:sz w:val="18"/>
                <w:szCs w:val="18"/>
              </w:rPr>
              <w:t>2</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5EF84DA9" w14:textId="39B6D1AE" w:rsidR="002248AB" w:rsidRPr="00B9545E" w:rsidRDefault="002248AB" w:rsidP="00263866">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21</w:t>
            </w:r>
            <w:r>
              <w:rPr>
                <w:rFonts w:ascii="Arial" w:hAnsi="Arial" w:cs="Arial"/>
                <w:sz w:val="18"/>
                <w:szCs w:val="18"/>
              </w:rPr>
              <w:t>]</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76C8281B" w14:textId="71E8A768" w:rsidR="002248AB" w:rsidRPr="00B9545E" w:rsidRDefault="002248AB" w:rsidP="00263866">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17</w:t>
            </w:r>
            <w:r>
              <w:rPr>
                <w:rFonts w:ascii="Arial" w:hAnsi="Arial" w:cs="Arial"/>
                <w:sz w:val="18"/>
                <w:szCs w:val="18"/>
              </w:rPr>
              <w:t>]</w:t>
            </w:r>
          </w:p>
        </w:tc>
      </w:tr>
    </w:tbl>
    <w:p w14:paraId="1254EA18" w14:textId="77777777" w:rsidR="002248AB" w:rsidRDefault="002248AB" w:rsidP="002248AB">
      <w:pPr>
        <w:pStyle w:val="Proposal"/>
        <w:numPr>
          <w:ilvl w:val="0"/>
          <w:numId w:val="0"/>
        </w:numPr>
        <w:ind w:left="1701"/>
      </w:pPr>
    </w:p>
    <w:p w14:paraId="12DB1F97" w14:textId="2C3605F3" w:rsidR="00AB6455" w:rsidRDefault="00AB6455" w:rsidP="00AB6455">
      <w:pPr>
        <w:pStyle w:val="Heading2"/>
      </w:pPr>
      <w:r>
        <w:t>2.</w:t>
      </w:r>
      <w:r w:rsidR="001B300D">
        <w:t>3</w:t>
      </w:r>
      <w:r>
        <w:tab/>
        <w:t>Power control for 1</w:t>
      </w:r>
      <w:r w:rsidRPr="00662C4F">
        <w:t xml:space="preserve">6-QAM in DL: </w:t>
      </w:r>
      <w:bookmarkStart w:id="21" w:name="_Hlk52976684"/>
      <w:r w:rsidRPr="00662C4F">
        <w:t>Data</w:t>
      </w:r>
      <w:r w:rsidR="00D73830">
        <w:t>-</w:t>
      </w:r>
      <w:r w:rsidRPr="00662C4F">
        <w:t>to</w:t>
      </w:r>
      <w:r w:rsidR="00D73830">
        <w:t>-</w:t>
      </w:r>
      <w:r w:rsidRPr="00662C4F">
        <w:t>Pilot Power Ratios</w:t>
      </w:r>
      <w:bookmarkEnd w:id="21"/>
    </w:p>
    <w:p w14:paraId="7B5797ED" w14:textId="038A9A9F" w:rsidR="00AB6455" w:rsidRPr="00207DAD" w:rsidRDefault="00AB6455" w:rsidP="00AB6455">
      <w:pPr>
        <w:jc w:val="both"/>
      </w:pPr>
      <w:r>
        <w:t>The WID’s objective includes the “</w:t>
      </w:r>
      <w:r w:rsidRPr="003B0B95">
        <w:t>necessary changes to DL power allocation for NPDSCH and DL TBS</w:t>
      </w:r>
      <w:r>
        <w:t>”.</w:t>
      </w:r>
      <w:r w:rsidRPr="003B0B95">
        <w:t xml:space="preserve"> </w:t>
      </w:r>
      <w:r>
        <w:t>In [</w:t>
      </w:r>
      <w:r w:rsidR="00CD33F2">
        <w:t>5</w:t>
      </w:r>
      <w:r>
        <w:t>] it was mentioned that “</w:t>
      </w:r>
      <w:r w:rsidRPr="008E0411">
        <w:t>currently a UE may assume the ratio of NPDSCH EPRE to NRS EPRE is 0 dB for an NB-IoT cell with one NRS antenna port and -3 dB for an NB-IoT cell with two NRS antenna ports</w:t>
      </w:r>
      <w:r>
        <w:t xml:space="preserve">. </w:t>
      </w:r>
      <w:bookmarkStart w:id="22" w:name="_Hlk58414114"/>
      <w:r w:rsidRPr="003B0B95">
        <w:t>For 16-QAM, the power ratio is required in order to determine the appropriate scaling of the LLR values</w:t>
      </w:r>
      <w:r>
        <w:t>”. Similarly, in [</w:t>
      </w:r>
      <w:r w:rsidR="00CD33F2">
        <w:t>6</w:t>
      </w:r>
      <w:r>
        <w:t>] it was mentioned that with the introduction of 16-QAM “</w:t>
      </w:r>
      <w:r w:rsidRPr="003B0B95">
        <w:t>the UE needs to have a correct assumption on the relative power between pilots and data</w:t>
      </w:r>
      <w:r>
        <w:t>”.</w:t>
      </w:r>
      <w:bookmarkEnd w:id="22"/>
    </w:p>
    <w:p w14:paraId="6A6C6884" w14:textId="1EFB6A77" w:rsidR="00AB6455" w:rsidRDefault="00AB6455" w:rsidP="00AB6455">
      <w:r>
        <w:t>In RAN1# 10</w:t>
      </w:r>
      <w:r w:rsidR="00310D8F">
        <w:t>3</w:t>
      </w:r>
      <w:r w:rsidR="001978F7">
        <w:t>-</w:t>
      </w:r>
      <w:r>
        <w:t>e the following agreement was reached in relation to the DL power allocation for 16-QAM:</w:t>
      </w:r>
    </w:p>
    <w:tbl>
      <w:tblPr>
        <w:tblStyle w:val="TableGrid"/>
        <w:tblW w:w="0" w:type="auto"/>
        <w:tblLook w:val="04A0" w:firstRow="1" w:lastRow="0" w:firstColumn="1" w:lastColumn="0" w:noHBand="0" w:noVBand="1"/>
      </w:tblPr>
      <w:tblGrid>
        <w:gridCol w:w="9629"/>
      </w:tblGrid>
      <w:tr w:rsidR="00AB6455" w14:paraId="1EE32978" w14:textId="77777777" w:rsidTr="00D40BC3">
        <w:tc>
          <w:tcPr>
            <w:tcW w:w="9629" w:type="dxa"/>
          </w:tcPr>
          <w:p w14:paraId="61B4F28D" w14:textId="77777777" w:rsidR="00B17519" w:rsidRPr="00B17519" w:rsidRDefault="00B17519" w:rsidP="00B17519">
            <w:pPr>
              <w:suppressAutoHyphens/>
              <w:autoSpaceDN/>
              <w:adjustRightInd/>
              <w:spacing w:after="0"/>
              <w:jc w:val="both"/>
              <w:rPr>
                <w:rFonts w:eastAsia="Times New Roman" w:cs="Times"/>
                <w:b/>
                <w:sz w:val="18"/>
                <w:szCs w:val="18"/>
                <w:highlight w:val="green"/>
                <w:lang w:eastAsia="ar-SA"/>
              </w:rPr>
            </w:pPr>
            <w:r w:rsidRPr="00B17519">
              <w:rPr>
                <w:rFonts w:eastAsia="Times New Roman" w:cs="Times"/>
                <w:b/>
                <w:sz w:val="18"/>
                <w:szCs w:val="18"/>
                <w:highlight w:val="green"/>
                <w:lang w:eastAsia="ar-SA"/>
              </w:rPr>
              <w:t>Agreement</w:t>
            </w:r>
          </w:p>
          <w:p w14:paraId="75CA0760" w14:textId="77777777" w:rsidR="00B17519" w:rsidRPr="00B17519" w:rsidRDefault="00B17519" w:rsidP="00B17519">
            <w:pPr>
              <w:wordWrap w:val="0"/>
              <w:overflowPunct/>
              <w:autoSpaceDE/>
              <w:autoSpaceDN/>
              <w:adjustRightInd/>
              <w:spacing w:after="0"/>
              <w:textAlignment w:val="auto"/>
              <w:rPr>
                <w:rFonts w:ascii="Times" w:eastAsia="Batang" w:hAnsi="Times" w:cs="Times"/>
                <w:sz w:val="18"/>
                <w:szCs w:val="18"/>
                <w:lang w:eastAsia="en-US"/>
              </w:rPr>
            </w:pPr>
            <w:r w:rsidRPr="00B17519">
              <w:rPr>
                <w:rFonts w:ascii="Times" w:eastAsia="Batang" w:hAnsi="Times" w:cs="Times"/>
                <w:sz w:val="18"/>
                <w:szCs w:val="18"/>
                <w:lang w:eastAsia="en-US"/>
              </w:rPr>
              <w:t>Explicit or implicit signaling of power ratios of NPDSCH EPRE to NRS EPRE for the following cases is supported.</w:t>
            </w:r>
          </w:p>
          <w:p w14:paraId="6289ED40" w14:textId="77777777" w:rsidR="00B17519" w:rsidRPr="00B17519" w:rsidRDefault="00B17519" w:rsidP="00247762">
            <w:pPr>
              <w:numPr>
                <w:ilvl w:val="0"/>
                <w:numId w:val="23"/>
              </w:numPr>
              <w:overflowPunct/>
              <w:autoSpaceDE/>
              <w:autoSpaceDN/>
              <w:adjustRightInd/>
              <w:spacing w:after="0"/>
              <w:textAlignment w:val="auto"/>
              <w:rPr>
                <w:rFonts w:ascii="Times" w:eastAsia="Batang" w:hAnsi="Times"/>
                <w:sz w:val="18"/>
                <w:szCs w:val="20"/>
                <w:lang w:eastAsia="x-none"/>
              </w:rPr>
            </w:pPr>
            <w:r w:rsidRPr="00B17519">
              <w:rPr>
                <w:rFonts w:ascii="Times" w:eastAsia="Batang" w:hAnsi="Times"/>
                <w:sz w:val="18"/>
                <w:szCs w:val="20"/>
                <w:lang w:eastAsia="x-none"/>
              </w:rPr>
              <w:t>NPDSCH in symbols without NRS and CRS</w:t>
            </w:r>
          </w:p>
          <w:p w14:paraId="605FA85C" w14:textId="77777777" w:rsidR="00B17519" w:rsidRPr="00B17519" w:rsidRDefault="00B17519" w:rsidP="00247762">
            <w:pPr>
              <w:numPr>
                <w:ilvl w:val="0"/>
                <w:numId w:val="23"/>
              </w:numPr>
              <w:overflowPunct/>
              <w:autoSpaceDE/>
              <w:autoSpaceDN/>
              <w:adjustRightInd/>
              <w:spacing w:after="0"/>
              <w:textAlignment w:val="auto"/>
              <w:rPr>
                <w:rFonts w:ascii="Times" w:eastAsia="Batang" w:hAnsi="Times"/>
                <w:sz w:val="18"/>
                <w:szCs w:val="20"/>
                <w:lang w:eastAsia="x-none"/>
              </w:rPr>
            </w:pPr>
            <w:r w:rsidRPr="00B17519">
              <w:rPr>
                <w:rFonts w:ascii="Times" w:eastAsia="Batang" w:hAnsi="Times"/>
                <w:sz w:val="18"/>
                <w:szCs w:val="20"/>
                <w:lang w:eastAsia="x-none"/>
              </w:rPr>
              <w:t>NPDSCH in symbols with CRS (only for “In-band” deployment)</w:t>
            </w:r>
          </w:p>
          <w:p w14:paraId="4D9CF9A2" w14:textId="77777777" w:rsidR="00EB2490" w:rsidRPr="00EB2490" w:rsidRDefault="00B17519" w:rsidP="00EB2490">
            <w:pPr>
              <w:numPr>
                <w:ilvl w:val="0"/>
                <w:numId w:val="23"/>
              </w:numPr>
              <w:overflowPunct/>
              <w:autoSpaceDE/>
              <w:autoSpaceDN/>
              <w:adjustRightInd/>
              <w:spacing w:after="0"/>
              <w:textAlignment w:val="auto"/>
              <w:rPr>
                <w:rFonts w:ascii="Times" w:eastAsia="Batang" w:hAnsi="Times"/>
                <w:szCs w:val="24"/>
                <w:lang w:eastAsia="x-none"/>
              </w:rPr>
            </w:pPr>
            <w:r w:rsidRPr="00B17519">
              <w:rPr>
                <w:rFonts w:ascii="Times" w:eastAsia="Batang" w:hAnsi="Times"/>
                <w:sz w:val="18"/>
                <w:szCs w:val="20"/>
                <w:lang w:eastAsia="x-none"/>
              </w:rPr>
              <w:t>NPDSCH in symbols with NRS</w:t>
            </w:r>
          </w:p>
          <w:p w14:paraId="23696F65" w14:textId="413FF4BE" w:rsidR="00EB2490" w:rsidRPr="00EB2490" w:rsidRDefault="00EB2490" w:rsidP="00EB2490">
            <w:pPr>
              <w:overflowPunct/>
              <w:autoSpaceDE/>
              <w:autoSpaceDN/>
              <w:adjustRightInd/>
              <w:spacing w:after="0"/>
              <w:ind w:left="720"/>
              <w:textAlignment w:val="auto"/>
              <w:rPr>
                <w:rFonts w:ascii="Times" w:eastAsia="Batang" w:hAnsi="Times"/>
                <w:sz w:val="18"/>
                <w:szCs w:val="20"/>
                <w:lang w:eastAsia="x-none"/>
              </w:rPr>
            </w:pPr>
          </w:p>
        </w:tc>
      </w:tr>
    </w:tbl>
    <w:p w14:paraId="0BBAA7C7" w14:textId="2E300EFB" w:rsidR="00AB6455" w:rsidRDefault="00AB6455" w:rsidP="00AB6455"/>
    <w:p w14:paraId="04BB6C0F" w14:textId="31906FB6" w:rsidR="00310D8F" w:rsidRDefault="00310D8F" w:rsidP="00AB6455">
      <w:r>
        <w:t>In RAN1#104-e, the follow-up agreement was reached:</w:t>
      </w:r>
    </w:p>
    <w:tbl>
      <w:tblPr>
        <w:tblStyle w:val="TableGrid"/>
        <w:tblW w:w="0" w:type="auto"/>
        <w:tblLook w:val="04A0" w:firstRow="1" w:lastRow="0" w:firstColumn="1" w:lastColumn="0" w:noHBand="0" w:noVBand="1"/>
      </w:tblPr>
      <w:tblGrid>
        <w:gridCol w:w="9629"/>
      </w:tblGrid>
      <w:tr w:rsidR="00310D8F" w14:paraId="28B38BCF" w14:textId="77777777" w:rsidTr="00310D8F">
        <w:tc>
          <w:tcPr>
            <w:tcW w:w="9629" w:type="dxa"/>
          </w:tcPr>
          <w:p w14:paraId="6984C76B" w14:textId="77777777" w:rsidR="00310D8F" w:rsidRPr="00310D8F" w:rsidRDefault="00310D8F" w:rsidP="00310D8F">
            <w:pPr>
              <w:overflowPunct/>
              <w:autoSpaceDE/>
              <w:autoSpaceDN/>
              <w:adjustRightInd/>
              <w:spacing w:after="0"/>
              <w:textAlignment w:val="auto"/>
              <w:rPr>
                <w:rFonts w:ascii="Times" w:eastAsia="Batang" w:hAnsi="Times" w:cs="Times"/>
                <w:b/>
                <w:sz w:val="18"/>
                <w:szCs w:val="18"/>
                <w:highlight w:val="green"/>
                <w:lang w:eastAsia="en-US"/>
              </w:rPr>
            </w:pPr>
            <w:r w:rsidRPr="00310D8F">
              <w:rPr>
                <w:rFonts w:ascii="Times" w:eastAsia="Batang" w:hAnsi="Times" w:cs="Times"/>
                <w:b/>
                <w:sz w:val="18"/>
                <w:szCs w:val="18"/>
                <w:highlight w:val="green"/>
                <w:lang w:eastAsia="en-US"/>
              </w:rPr>
              <w:t>Agreement</w:t>
            </w:r>
          </w:p>
          <w:p w14:paraId="25E33428" w14:textId="77777777" w:rsidR="00310D8F" w:rsidRPr="00310D8F" w:rsidRDefault="00310D8F" w:rsidP="00310D8F">
            <w:pPr>
              <w:overflowPunct/>
              <w:autoSpaceDE/>
              <w:autoSpaceDN/>
              <w:adjustRightInd/>
              <w:spacing w:after="0"/>
              <w:textAlignment w:val="auto"/>
              <w:rPr>
                <w:rFonts w:ascii="Times" w:eastAsia="Batang" w:hAnsi="Times"/>
                <w:bCs/>
                <w:sz w:val="18"/>
                <w:szCs w:val="18"/>
                <w:lang w:eastAsia="zh-CN"/>
              </w:rPr>
            </w:pPr>
            <w:r w:rsidRPr="00310D8F">
              <w:rPr>
                <w:rFonts w:ascii="Times" w:eastAsia="Batang" w:hAnsi="Times"/>
                <w:bCs/>
                <w:sz w:val="18"/>
                <w:szCs w:val="18"/>
                <w:lang w:eastAsia="zh-CN"/>
              </w:rPr>
              <w:t>The NPDSCH EPRE in symbols with NRS can be different and can be the same with the NPDSCH EPRE in symbols without CRS and NRS.</w:t>
            </w:r>
          </w:p>
          <w:p w14:paraId="1854A5AB" w14:textId="77777777" w:rsidR="00310D8F" w:rsidRPr="00310D8F" w:rsidRDefault="00310D8F" w:rsidP="00247762">
            <w:pPr>
              <w:numPr>
                <w:ilvl w:val="0"/>
                <w:numId w:val="26"/>
              </w:numPr>
              <w:overflowPunct/>
              <w:autoSpaceDE/>
              <w:autoSpaceDN/>
              <w:adjustRightInd/>
              <w:spacing w:after="0"/>
              <w:contextualSpacing/>
              <w:textAlignment w:val="auto"/>
              <w:rPr>
                <w:rFonts w:ascii="Times" w:eastAsia="Batang" w:hAnsi="Times" w:cs="Times"/>
                <w:sz w:val="18"/>
                <w:szCs w:val="18"/>
                <w:lang w:eastAsia="x-none"/>
              </w:rPr>
            </w:pPr>
            <w:bookmarkStart w:id="23" w:name="_Hlk66704657"/>
            <w:r w:rsidRPr="00310D8F">
              <w:rPr>
                <w:rFonts w:ascii="Times" w:eastAsia="Batang" w:hAnsi="Times" w:cs="Times"/>
                <w:sz w:val="18"/>
                <w:szCs w:val="18"/>
                <w:lang w:eastAsia="x-none"/>
              </w:rPr>
              <w:t>FFS on signaling details</w:t>
            </w:r>
            <w:bookmarkEnd w:id="23"/>
          </w:p>
          <w:p w14:paraId="1863D75A" w14:textId="77777777" w:rsidR="00310D8F" w:rsidRDefault="00310D8F" w:rsidP="00247762">
            <w:pPr>
              <w:numPr>
                <w:ilvl w:val="0"/>
                <w:numId w:val="26"/>
              </w:numPr>
              <w:overflowPunct/>
              <w:autoSpaceDE/>
              <w:autoSpaceDN/>
              <w:adjustRightInd/>
              <w:spacing w:after="0"/>
              <w:contextualSpacing/>
              <w:textAlignment w:val="auto"/>
              <w:rPr>
                <w:rFonts w:ascii="Times" w:eastAsia="Batang" w:hAnsi="Times" w:cs="Times"/>
                <w:sz w:val="18"/>
                <w:szCs w:val="18"/>
                <w:lang w:eastAsia="x-none"/>
              </w:rPr>
            </w:pPr>
            <w:r w:rsidRPr="00310D8F">
              <w:rPr>
                <w:rFonts w:ascii="Times" w:eastAsia="Batang" w:hAnsi="Times" w:cs="Times"/>
                <w:sz w:val="18"/>
                <w:szCs w:val="18"/>
                <w:lang w:eastAsia="x-none"/>
              </w:rPr>
              <w:t>FFS for the handling on whether the PCI is different or the same</w:t>
            </w:r>
          </w:p>
          <w:p w14:paraId="15E5B73E" w14:textId="1A21A92D" w:rsidR="00EB2490" w:rsidRPr="00310D8F" w:rsidRDefault="00EB2490" w:rsidP="00EB2490">
            <w:pPr>
              <w:overflowPunct/>
              <w:autoSpaceDE/>
              <w:autoSpaceDN/>
              <w:adjustRightInd/>
              <w:spacing w:after="0"/>
              <w:ind w:left="720"/>
              <w:contextualSpacing/>
              <w:textAlignment w:val="auto"/>
              <w:rPr>
                <w:rFonts w:ascii="Times" w:eastAsia="Batang" w:hAnsi="Times" w:cs="Times"/>
                <w:sz w:val="18"/>
                <w:szCs w:val="18"/>
                <w:lang w:eastAsia="x-none"/>
              </w:rPr>
            </w:pPr>
          </w:p>
        </w:tc>
      </w:tr>
    </w:tbl>
    <w:p w14:paraId="61672AD3" w14:textId="7F7C5ACD" w:rsidR="00310D8F" w:rsidRDefault="00310D8F" w:rsidP="00AB6455"/>
    <w:p w14:paraId="60B4552B" w14:textId="39913323" w:rsidR="00FB02D6" w:rsidRDefault="00FB02D6" w:rsidP="00AB6455">
      <w:r>
        <w:t>More recently, in RAN1# 104-bis-e the following agreement was reached:</w:t>
      </w:r>
    </w:p>
    <w:tbl>
      <w:tblPr>
        <w:tblStyle w:val="TableGrid"/>
        <w:tblW w:w="0" w:type="auto"/>
        <w:tblLook w:val="04A0" w:firstRow="1" w:lastRow="0" w:firstColumn="1" w:lastColumn="0" w:noHBand="0" w:noVBand="1"/>
      </w:tblPr>
      <w:tblGrid>
        <w:gridCol w:w="9629"/>
      </w:tblGrid>
      <w:tr w:rsidR="00FB02D6" w14:paraId="59CC1AFA" w14:textId="77777777" w:rsidTr="00FB02D6">
        <w:tc>
          <w:tcPr>
            <w:tcW w:w="9629" w:type="dxa"/>
          </w:tcPr>
          <w:p w14:paraId="36F0DAD8" w14:textId="77777777" w:rsidR="00684B75" w:rsidRPr="00684B75" w:rsidRDefault="00684B75" w:rsidP="00684B75">
            <w:pPr>
              <w:suppressAutoHyphens/>
              <w:autoSpaceDN/>
              <w:adjustRightInd/>
              <w:spacing w:after="0"/>
              <w:rPr>
                <w:rFonts w:eastAsia="Times New Roman"/>
                <w:b/>
                <w:sz w:val="18"/>
                <w:szCs w:val="18"/>
                <w:highlight w:val="green"/>
                <w:lang w:eastAsia="ar-SA"/>
              </w:rPr>
            </w:pPr>
            <w:r w:rsidRPr="00684B75">
              <w:rPr>
                <w:rFonts w:eastAsia="Times New Roman"/>
                <w:b/>
                <w:sz w:val="18"/>
                <w:szCs w:val="18"/>
                <w:highlight w:val="green"/>
                <w:lang w:eastAsia="ar-SA"/>
              </w:rPr>
              <w:t>Agreement</w:t>
            </w:r>
          </w:p>
          <w:p w14:paraId="5108570D" w14:textId="77777777" w:rsidR="00684B75" w:rsidRPr="00684B75" w:rsidRDefault="00684B75" w:rsidP="00684B75">
            <w:pPr>
              <w:suppressAutoHyphens/>
              <w:autoSpaceDN/>
              <w:adjustRightInd/>
              <w:spacing w:after="0"/>
              <w:rPr>
                <w:rFonts w:eastAsia="Times New Roman"/>
                <w:bCs/>
                <w:sz w:val="18"/>
                <w:szCs w:val="18"/>
                <w:lang w:eastAsia="ar-SA"/>
              </w:rPr>
            </w:pPr>
            <w:r w:rsidRPr="00684B75">
              <w:rPr>
                <w:rFonts w:eastAsia="Times New Roman"/>
                <w:bCs/>
                <w:sz w:val="18"/>
                <w:szCs w:val="18"/>
                <w:lang w:eastAsia="ar-SA"/>
              </w:rPr>
              <w:t>For downlink power allocation to support 16QAM:</w:t>
            </w:r>
          </w:p>
          <w:p w14:paraId="48006B9C" w14:textId="77777777" w:rsidR="00684B75" w:rsidRPr="00684B75" w:rsidRDefault="00684B75" w:rsidP="00684B75">
            <w:pPr>
              <w:numPr>
                <w:ilvl w:val="0"/>
                <w:numId w:val="39"/>
              </w:numPr>
              <w:overflowPunct/>
              <w:autoSpaceDE/>
              <w:autoSpaceDN/>
              <w:adjustRightInd/>
              <w:spacing w:after="0"/>
              <w:textAlignment w:val="auto"/>
              <w:rPr>
                <w:rFonts w:ascii="Times" w:eastAsia="Batang" w:hAnsi="Times"/>
                <w:sz w:val="18"/>
                <w:szCs w:val="20"/>
                <w:lang w:eastAsia="x-none"/>
              </w:rPr>
            </w:pPr>
            <w:bookmarkStart w:id="24" w:name="_Hlk71201131"/>
            <w:r w:rsidRPr="00684B75">
              <w:rPr>
                <w:rFonts w:ascii="Times" w:eastAsia="Batang" w:hAnsi="Times"/>
                <w:sz w:val="18"/>
                <w:szCs w:val="20"/>
                <w:lang w:eastAsia="x-none"/>
              </w:rPr>
              <w:t>For standalone and guard-band deployments:</w:t>
            </w:r>
          </w:p>
          <w:p w14:paraId="532D0A00" w14:textId="77777777" w:rsidR="00684B75" w:rsidRPr="00684B75" w:rsidRDefault="00684B75" w:rsidP="00684B75">
            <w:pPr>
              <w:numPr>
                <w:ilvl w:val="1"/>
                <w:numId w:val="25"/>
              </w:numPr>
              <w:overflowPunct/>
              <w:autoSpaceDE/>
              <w:autoSpaceDN/>
              <w:adjustRightInd/>
              <w:spacing w:after="0"/>
              <w:jc w:val="both"/>
              <w:textAlignment w:val="auto"/>
              <w:rPr>
                <w:rFonts w:eastAsia="Batang"/>
                <w:bCs/>
                <w:sz w:val="18"/>
                <w:szCs w:val="18"/>
                <w:lang w:eastAsia="x-none"/>
              </w:rPr>
            </w:pPr>
            <w:r w:rsidRPr="00684B75">
              <w:rPr>
                <w:rFonts w:eastAsia="Batang" w:hint="eastAsia"/>
                <w:bCs/>
                <w:sz w:val="18"/>
                <w:szCs w:val="18"/>
                <w:lang w:eastAsia="x-none"/>
              </w:rPr>
              <w:t xml:space="preserve">Option 1: </w:t>
            </w:r>
            <w:r w:rsidRPr="00684B75">
              <w:rPr>
                <w:rFonts w:eastAsia="Batang"/>
                <w:bCs/>
                <w:sz w:val="18"/>
                <w:szCs w:val="18"/>
                <w:lang w:eastAsia="x-none"/>
              </w:rPr>
              <w:t>Two</w:t>
            </w:r>
            <w:r w:rsidRPr="00684B75">
              <w:rPr>
                <w:rFonts w:eastAsia="Batang" w:hint="eastAsia"/>
                <w:bCs/>
                <w:sz w:val="18"/>
                <w:szCs w:val="18"/>
                <w:lang w:eastAsia="x-none"/>
              </w:rPr>
              <w:t xml:space="preserve"> </w:t>
            </w:r>
            <w:r w:rsidRPr="00684B75">
              <w:rPr>
                <w:rFonts w:eastAsia="Batang"/>
                <w:bCs/>
                <w:sz w:val="18"/>
                <w:szCs w:val="18"/>
                <w:lang w:eastAsia="x-none"/>
              </w:rPr>
              <w:t>power ratios are signaled</w:t>
            </w:r>
          </w:p>
          <w:p w14:paraId="01E58309" w14:textId="77777777" w:rsidR="00684B75" w:rsidRPr="00684B75" w:rsidRDefault="00684B75" w:rsidP="00684B75">
            <w:pPr>
              <w:numPr>
                <w:ilvl w:val="2"/>
                <w:numId w:val="25"/>
              </w:numPr>
              <w:overflowPunct/>
              <w:autoSpaceDE/>
              <w:autoSpaceDN/>
              <w:adjustRightInd/>
              <w:spacing w:after="0"/>
              <w:jc w:val="both"/>
              <w:textAlignment w:val="auto"/>
              <w:rPr>
                <w:rFonts w:eastAsia="Batang"/>
                <w:bCs/>
                <w:sz w:val="18"/>
                <w:szCs w:val="18"/>
                <w:lang w:eastAsia="x-none"/>
              </w:rPr>
            </w:pPr>
            <w:r w:rsidRPr="00684B75">
              <w:rPr>
                <w:rFonts w:eastAsia="Batang"/>
                <w:bCs/>
                <w:sz w:val="18"/>
                <w:szCs w:val="18"/>
                <w:lang w:eastAsia="x-none"/>
              </w:rPr>
              <w:t>NPDSCH EPRE to NRS EPRE in symbols with NRS</w:t>
            </w:r>
          </w:p>
          <w:p w14:paraId="5CE0AC5C" w14:textId="77777777" w:rsidR="00684B75" w:rsidRPr="00684B75" w:rsidRDefault="00684B75" w:rsidP="00684B75">
            <w:pPr>
              <w:numPr>
                <w:ilvl w:val="2"/>
                <w:numId w:val="25"/>
              </w:numPr>
              <w:overflowPunct/>
              <w:autoSpaceDE/>
              <w:autoSpaceDN/>
              <w:adjustRightInd/>
              <w:spacing w:after="0"/>
              <w:jc w:val="both"/>
              <w:textAlignment w:val="auto"/>
              <w:rPr>
                <w:rFonts w:eastAsia="Batang"/>
                <w:bCs/>
                <w:sz w:val="18"/>
                <w:szCs w:val="18"/>
                <w:lang w:eastAsia="x-none"/>
              </w:rPr>
            </w:pPr>
            <w:r w:rsidRPr="00684B75">
              <w:rPr>
                <w:rFonts w:eastAsia="Batang"/>
                <w:bCs/>
                <w:sz w:val="18"/>
                <w:szCs w:val="18"/>
                <w:lang w:eastAsia="x-none"/>
              </w:rPr>
              <w:t>NPDSCH EPRE to NRS EPRE in symbols without NRS</w:t>
            </w:r>
          </w:p>
          <w:bookmarkEnd w:id="24"/>
          <w:p w14:paraId="32413931" w14:textId="77777777" w:rsidR="00684B75" w:rsidRPr="00684B75" w:rsidRDefault="00684B75" w:rsidP="00684B75">
            <w:pPr>
              <w:numPr>
                <w:ilvl w:val="1"/>
                <w:numId w:val="25"/>
              </w:numPr>
              <w:overflowPunct/>
              <w:autoSpaceDE/>
              <w:autoSpaceDN/>
              <w:adjustRightInd/>
              <w:spacing w:after="0"/>
              <w:jc w:val="both"/>
              <w:textAlignment w:val="auto"/>
              <w:rPr>
                <w:rFonts w:eastAsia="Batang"/>
                <w:bCs/>
                <w:sz w:val="18"/>
                <w:szCs w:val="18"/>
                <w:lang w:eastAsia="x-none"/>
              </w:rPr>
            </w:pPr>
            <w:r w:rsidRPr="00684B75">
              <w:rPr>
                <w:rFonts w:eastAsia="Batang"/>
                <w:bCs/>
                <w:sz w:val="18"/>
                <w:szCs w:val="18"/>
                <w:lang w:eastAsia="x-none"/>
              </w:rPr>
              <w:t>Option 2: the power ratio of NPDSCH EPRE to NRS EPRE in symbols with NRS is signaled, assuming the same transmit power of different symbols.</w:t>
            </w:r>
          </w:p>
          <w:p w14:paraId="0B3BC945" w14:textId="77777777" w:rsidR="00684B75" w:rsidRPr="00684B75" w:rsidRDefault="00684B75" w:rsidP="00684B75">
            <w:pPr>
              <w:numPr>
                <w:ilvl w:val="1"/>
                <w:numId w:val="25"/>
              </w:numPr>
              <w:overflowPunct/>
              <w:autoSpaceDE/>
              <w:autoSpaceDN/>
              <w:adjustRightInd/>
              <w:spacing w:after="0"/>
              <w:jc w:val="both"/>
              <w:textAlignment w:val="auto"/>
              <w:rPr>
                <w:rFonts w:eastAsia="Batang"/>
                <w:bCs/>
                <w:sz w:val="18"/>
                <w:szCs w:val="18"/>
                <w:lang w:eastAsia="x-none"/>
              </w:rPr>
            </w:pPr>
            <w:r w:rsidRPr="00684B75">
              <w:rPr>
                <w:rFonts w:eastAsia="Batang"/>
                <w:bCs/>
                <w:sz w:val="18"/>
                <w:szCs w:val="18"/>
                <w:lang w:eastAsia="x-none"/>
              </w:rPr>
              <w:t>Option 3: the power ratio of NPDSCH EPRE to NRS EPRE in symbols without NRS is signaled, assuming the same transmit power of different symbols.</w:t>
            </w:r>
          </w:p>
          <w:p w14:paraId="0FA525F3" w14:textId="77777777" w:rsidR="00684B75" w:rsidRPr="00684B75" w:rsidRDefault="00684B75" w:rsidP="00684B75">
            <w:pPr>
              <w:numPr>
                <w:ilvl w:val="1"/>
                <w:numId w:val="25"/>
              </w:numPr>
              <w:overflowPunct/>
              <w:autoSpaceDE/>
              <w:autoSpaceDN/>
              <w:adjustRightInd/>
              <w:spacing w:after="0"/>
              <w:jc w:val="both"/>
              <w:textAlignment w:val="auto"/>
              <w:rPr>
                <w:rFonts w:eastAsia="Batang"/>
                <w:bCs/>
                <w:sz w:val="18"/>
                <w:szCs w:val="18"/>
                <w:lang w:eastAsia="x-none"/>
              </w:rPr>
            </w:pPr>
            <w:bookmarkStart w:id="25" w:name="_Hlk71201277"/>
            <w:r w:rsidRPr="00684B75">
              <w:rPr>
                <w:rFonts w:eastAsia="Batang"/>
                <w:bCs/>
                <w:sz w:val="18"/>
                <w:szCs w:val="18"/>
                <w:lang w:eastAsia="x-none"/>
              </w:rPr>
              <w:t>If the signaling(s) is(are) not indicated, the legacy power allocation is used.</w:t>
            </w:r>
          </w:p>
          <w:p w14:paraId="4DAD9280" w14:textId="77777777" w:rsidR="00684B75" w:rsidRPr="00684B75" w:rsidRDefault="00684B75" w:rsidP="00684B75">
            <w:pPr>
              <w:numPr>
                <w:ilvl w:val="2"/>
                <w:numId w:val="25"/>
              </w:numPr>
              <w:overflowPunct/>
              <w:autoSpaceDE/>
              <w:autoSpaceDN/>
              <w:adjustRightInd/>
              <w:spacing w:after="0"/>
              <w:jc w:val="both"/>
              <w:textAlignment w:val="auto"/>
              <w:rPr>
                <w:rFonts w:eastAsia="Batang"/>
                <w:bCs/>
                <w:sz w:val="18"/>
                <w:szCs w:val="18"/>
                <w:lang w:eastAsia="x-none"/>
              </w:rPr>
            </w:pPr>
            <w:r w:rsidRPr="00684B75">
              <w:rPr>
                <w:rFonts w:eastAsia="Batang"/>
                <w:bCs/>
                <w:sz w:val="18"/>
                <w:szCs w:val="18"/>
                <w:lang w:eastAsia="x-none"/>
              </w:rPr>
              <w:t>i.e., the ratio of NPDSCH EPRE to NRS EPRE is 0dB for one NRS antenna port, and -3dB for two NRS antenna ports</w:t>
            </w:r>
          </w:p>
          <w:bookmarkEnd w:id="25"/>
          <w:p w14:paraId="16DA0D52" w14:textId="77777777" w:rsidR="00684B75" w:rsidRPr="00684B75" w:rsidRDefault="00684B75" w:rsidP="00684B75">
            <w:pPr>
              <w:numPr>
                <w:ilvl w:val="0"/>
                <w:numId w:val="39"/>
              </w:numPr>
              <w:overflowPunct/>
              <w:autoSpaceDE/>
              <w:autoSpaceDN/>
              <w:adjustRightInd/>
              <w:spacing w:after="0"/>
              <w:textAlignment w:val="auto"/>
              <w:rPr>
                <w:rFonts w:ascii="Times" w:eastAsia="Batang" w:hAnsi="Times"/>
                <w:sz w:val="18"/>
                <w:szCs w:val="20"/>
                <w:lang w:eastAsia="x-none"/>
              </w:rPr>
            </w:pPr>
            <w:r w:rsidRPr="00684B75">
              <w:rPr>
                <w:rFonts w:ascii="Times" w:eastAsia="Batang" w:hAnsi="Times"/>
                <w:sz w:val="18"/>
                <w:szCs w:val="20"/>
                <w:lang w:eastAsia="x-none"/>
              </w:rPr>
              <w:t>For inband deployments, the power ratio of NRS EPRE to CRS EPRE is signaled in addition to the signaling for standalone and guard-band deployments.</w:t>
            </w:r>
          </w:p>
          <w:p w14:paraId="463DCDF1" w14:textId="77777777" w:rsidR="00684B75" w:rsidRPr="00684B75" w:rsidRDefault="00684B75" w:rsidP="00684B75">
            <w:pPr>
              <w:numPr>
                <w:ilvl w:val="1"/>
                <w:numId w:val="25"/>
              </w:numPr>
              <w:overflowPunct/>
              <w:autoSpaceDE/>
              <w:autoSpaceDN/>
              <w:adjustRightInd/>
              <w:spacing w:after="0"/>
              <w:jc w:val="both"/>
              <w:textAlignment w:val="auto"/>
              <w:rPr>
                <w:rFonts w:eastAsia="Batang"/>
                <w:bCs/>
                <w:sz w:val="18"/>
                <w:szCs w:val="18"/>
                <w:lang w:eastAsia="x-none"/>
              </w:rPr>
            </w:pPr>
            <w:r w:rsidRPr="00684B75">
              <w:rPr>
                <w:rFonts w:eastAsia="Batang"/>
                <w:bCs/>
                <w:sz w:val="18"/>
                <w:szCs w:val="18"/>
                <w:lang w:eastAsia="x-none"/>
              </w:rPr>
              <w:t>FFS to reuse the existing parameter nrs-CRS-PowerOffset.</w:t>
            </w:r>
          </w:p>
          <w:p w14:paraId="3B9DF17B" w14:textId="77777777" w:rsidR="00FB02D6" w:rsidRDefault="00684B75" w:rsidP="00AB6455">
            <w:pPr>
              <w:numPr>
                <w:ilvl w:val="0"/>
                <w:numId w:val="45"/>
              </w:numPr>
              <w:overflowPunct/>
              <w:autoSpaceDE/>
              <w:autoSpaceDN/>
              <w:adjustRightInd/>
              <w:spacing w:after="0"/>
              <w:textAlignment w:val="auto"/>
              <w:rPr>
                <w:rFonts w:ascii="Times" w:eastAsia="Batang" w:hAnsi="Times"/>
                <w:bCs/>
                <w:sz w:val="18"/>
                <w:szCs w:val="20"/>
                <w:lang w:eastAsia="en-US"/>
              </w:rPr>
            </w:pPr>
            <w:r w:rsidRPr="00684B75">
              <w:rPr>
                <w:rFonts w:ascii="Times" w:eastAsia="Batang" w:hAnsi="Times"/>
                <w:bCs/>
                <w:sz w:val="18"/>
                <w:szCs w:val="20"/>
                <w:lang w:eastAsia="en-US"/>
              </w:rPr>
              <w:lastRenderedPageBreak/>
              <w:t>FFS: Whether UE specific or cell-specific or carrier-specific signaling is used</w:t>
            </w:r>
          </w:p>
          <w:p w14:paraId="3135034B" w14:textId="66754326" w:rsidR="00EB2490" w:rsidRPr="00684B75" w:rsidRDefault="00EB2490" w:rsidP="00EB2490">
            <w:pPr>
              <w:overflowPunct/>
              <w:autoSpaceDE/>
              <w:autoSpaceDN/>
              <w:adjustRightInd/>
              <w:spacing w:after="0"/>
              <w:ind w:left="720"/>
              <w:textAlignment w:val="auto"/>
              <w:rPr>
                <w:rFonts w:ascii="Times" w:eastAsia="Batang" w:hAnsi="Times"/>
                <w:bCs/>
                <w:sz w:val="18"/>
                <w:szCs w:val="20"/>
                <w:lang w:eastAsia="en-US"/>
              </w:rPr>
            </w:pPr>
          </w:p>
        </w:tc>
      </w:tr>
    </w:tbl>
    <w:p w14:paraId="1263A28E" w14:textId="77777777" w:rsidR="00FB02D6" w:rsidRDefault="00FB02D6" w:rsidP="00AB6455"/>
    <w:p w14:paraId="75973D33" w14:textId="77777777" w:rsidR="00C025C9" w:rsidRDefault="00C025C9" w:rsidP="00AB6455">
      <w:pPr>
        <w:pStyle w:val="ListParagraph"/>
        <w:numPr>
          <w:ilvl w:val="0"/>
          <w:numId w:val="46"/>
        </w:numPr>
        <w:rPr>
          <w:b/>
          <w:lang w:val="en-US"/>
        </w:rPr>
      </w:pPr>
      <w:r w:rsidRPr="00C025C9">
        <w:rPr>
          <w:b/>
          <w:lang w:val="en-US"/>
        </w:rPr>
        <w:t>Stand-alone and Guard-band deployments:</w:t>
      </w:r>
    </w:p>
    <w:p w14:paraId="1E16A456" w14:textId="77777777" w:rsidR="00C025C9" w:rsidRDefault="00C025C9" w:rsidP="00C025C9">
      <w:pPr>
        <w:spacing w:after="0"/>
      </w:pPr>
    </w:p>
    <w:p w14:paraId="1C2BE4C7" w14:textId="765E748B" w:rsidR="00EB2490" w:rsidRDefault="00C025C9" w:rsidP="008F59E5">
      <w:pPr>
        <w:jc w:val="both"/>
      </w:pPr>
      <w:r>
        <w:t>Three options have been listed towards deciding on the data-to-pilot power ratios to be signalled for “Stand-alone” and “Guard-band” deployments. It is worth noting that regardless of the selected option, the following principle will apply:</w:t>
      </w:r>
    </w:p>
    <w:p w14:paraId="5B9074E0" w14:textId="77777777" w:rsidR="00C025C9" w:rsidRPr="00C025C9" w:rsidRDefault="00C025C9" w:rsidP="000B3A53">
      <w:pPr>
        <w:overflowPunct/>
        <w:autoSpaceDE/>
        <w:autoSpaceDN/>
        <w:adjustRightInd/>
        <w:spacing w:after="0"/>
        <w:ind w:left="360"/>
        <w:jc w:val="both"/>
        <w:textAlignment w:val="auto"/>
        <w:rPr>
          <w:rFonts w:eastAsia="Batang"/>
          <w:bCs/>
          <w:i/>
          <w:iCs/>
          <w:sz w:val="18"/>
          <w:szCs w:val="18"/>
          <w:lang w:eastAsia="x-none"/>
        </w:rPr>
      </w:pPr>
      <w:r>
        <w:t>“</w:t>
      </w:r>
      <w:r w:rsidRPr="00C025C9">
        <w:rPr>
          <w:rFonts w:eastAsia="Batang"/>
          <w:bCs/>
          <w:i/>
          <w:iCs/>
          <w:sz w:val="18"/>
          <w:szCs w:val="18"/>
          <w:lang w:eastAsia="x-none"/>
        </w:rPr>
        <w:t>If the signaling(s) is(are) not indicated, the legacy power allocation is used.</w:t>
      </w:r>
    </w:p>
    <w:p w14:paraId="77BD6D12" w14:textId="2EBB83E5" w:rsidR="00C025C9" w:rsidRPr="006D3115" w:rsidRDefault="00C025C9" w:rsidP="000B3A53">
      <w:pPr>
        <w:numPr>
          <w:ilvl w:val="2"/>
          <w:numId w:val="25"/>
        </w:numPr>
        <w:overflowPunct/>
        <w:autoSpaceDE/>
        <w:autoSpaceDN/>
        <w:adjustRightInd/>
        <w:spacing w:after="0"/>
        <w:ind w:left="1080"/>
        <w:jc w:val="both"/>
        <w:textAlignment w:val="auto"/>
        <w:rPr>
          <w:rFonts w:eastAsia="Batang"/>
          <w:bCs/>
          <w:sz w:val="18"/>
          <w:szCs w:val="18"/>
          <w:lang w:eastAsia="x-none"/>
        </w:rPr>
      </w:pPr>
      <w:r w:rsidRPr="00C025C9">
        <w:rPr>
          <w:rFonts w:eastAsia="Batang"/>
          <w:bCs/>
          <w:i/>
          <w:iCs/>
          <w:sz w:val="18"/>
          <w:szCs w:val="18"/>
          <w:lang w:eastAsia="x-none"/>
        </w:rPr>
        <w:t>i.e., the ratio of NPDSCH EPRE to NRS EPRE is 0dB for one NRS antenna port, and -3dB for two NRS antenna ports</w:t>
      </w:r>
      <w:r>
        <w:t>”</w:t>
      </w:r>
    </w:p>
    <w:p w14:paraId="6ABFAE66" w14:textId="77777777" w:rsidR="006D3115" w:rsidRPr="00C025C9" w:rsidRDefault="006D3115" w:rsidP="008F59E5">
      <w:pPr>
        <w:overflowPunct/>
        <w:autoSpaceDE/>
        <w:autoSpaceDN/>
        <w:adjustRightInd/>
        <w:spacing w:after="0"/>
        <w:ind w:left="2160"/>
        <w:jc w:val="both"/>
        <w:textAlignment w:val="auto"/>
        <w:rPr>
          <w:rFonts w:eastAsia="Batang"/>
          <w:bCs/>
          <w:sz w:val="18"/>
          <w:szCs w:val="18"/>
          <w:lang w:eastAsia="x-none"/>
        </w:rPr>
      </w:pPr>
    </w:p>
    <w:p w14:paraId="4FCC5FB4" w14:textId="49BB8E3F" w:rsidR="00C025C9" w:rsidRDefault="006D3115" w:rsidP="008F59E5">
      <w:pPr>
        <w:jc w:val="both"/>
      </w:pPr>
      <w:r>
        <w:t>The principle cited above provides the required implicitness in case no data-to-pilot power ratios were signalled, for other cases the explicitness and full-control provided by Option 1 is preferred for “</w:t>
      </w:r>
      <w:r w:rsidRPr="006D3115">
        <w:rPr>
          <w:i/>
          <w:iCs/>
        </w:rPr>
        <w:t>Stand-alone and Guard-band deployments</w:t>
      </w:r>
      <w:r>
        <w:t>”.</w:t>
      </w:r>
    </w:p>
    <w:p w14:paraId="22433A3F" w14:textId="28FCB61E" w:rsidR="00C83079" w:rsidRPr="00C83079" w:rsidRDefault="00C83079" w:rsidP="00C83079">
      <w:pPr>
        <w:pStyle w:val="Proposal"/>
      </w:pPr>
      <w:bookmarkStart w:id="26" w:name="_Toc71635398"/>
      <w:r w:rsidRPr="00C83079">
        <w:t xml:space="preserve">For </w:t>
      </w:r>
      <w:r>
        <w:t>the 16-QAM downlink power allocation, in case of “</w:t>
      </w:r>
      <w:r w:rsidRPr="00C83079">
        <w:t>standalone and guard-band deployments</w:t>
      </w:r>
      <w:r>
        <w:t>” the following option is used</w:t>
      </w:r>
      <w:r w:rsidRPr="00C83079">
        <w:t>:</w:t>
      </w:r>
      <w:bookmarkEnd w:id="26"/>
    </w:p>
    <w:p w14:paraId="081E49B3" w14:textId="77777777" w:rsidR="00C83079" w:rsidRPr="00C83079" w:rsidRDefault="00C83079" w:rsidP="00C83079">
      <w:pPr>
        <w:pStyle w:val="Proposal"/>
        <w:numPr>
          <w:ilvl w:val="2"/>
          <w:numId w:val="25"/>
        </w:numPr>
      </w:pPr>
      <w:bookmarkStart w:id="27" w:name="_Toc71635399"/>
      <w:r w:rsidRPr="00C83079">
        <w:rPr>
          <w:rFonts w:hint="eastAsia"/>
        </w:rPr>
        <w:t xml:space="preserve">Option 1: </w:t>
      </w:r>
      <w:r w:rsidRPr="00C83079">
        <w:t>Two</w:t>
      </w:r>
      <w:r w:rsidRPr="00C83079">
        <w:rPr>
          <w:rFonts w:hint="eastAsia"/>
        </w:rPr>
        <w:t xml:space="preserve"> </w:t>
      </w:r>
      <w:r w:rsidRPr="00C83079">
        <w:t>power ratios are signaled</w:t>
      </w:r>
      <w:bookmarkEnd w:id="27"/>
    </w:p>
    <w:p w14:paraId="0CFDFE18" w14:textId="77777777" w:rsidR="00C83079" w:rsidRPr="00C83079" w:rsidRDefault="00C83079" w:rsidP="00C83079">
      <w:pPr>
        <w:pStyle w:val="Proposal"/>
        <w:numPr>
          <w:ilvl w:val="3"/>
          <w:numId w:val="25"/>
        </w:numPr>
      </w:pPr>
      <w:bookmarkStart w:id="28" w:name="_Toc71635400"/>
      <w:r w:rsidRPr="00C83079">
        <w:t>NPDSCH EPRE to NRS EPRE in symbols with NRS</w:t>
      </w:r>
      <w:bookmarkEnd w:id="28"/>
    </w:p>
    <w:p w14:paraId="07099CB0" w14:textId="038C17EB" w:rsidR="00C83079" w:rsidRDefault="00C83079" w:rsidP="00C83079">
      <w:pPr>
        <w:pStyle w:val="Proposal"/>
        <w:numPr>
          <w:ilvl w:val="3"/>
          <w:numId w:val="25"/>
        </w:numPr>
      </w:pPr>
      <w:bookmarkStart w:id="29" w:name="_Toc71635401"/>
      <w:bookmarkStart w:id="30" w:name="_Hlk71205306"/>
      <w:r w:rsidRPr="00C83079">
        <w:t>NPDSCH EPRE to NRS EPRE in symbols without NRS</w:t>
      </w:r>
      <w:bookmarkEnd w:id="29"/>
    </w:p>
    <w:p w14:paraId="0858BE67" w14:textId="20560D6A" w:rsidR="00C83079" w:rsidRPr="00C83079" w:rsidRDefault="00C83079" w:rsidP="00C83079">
      <w:pPr>
        <w:pStyle w:val="Proposal"/>
        <w:numPr>
          <w:ilvl w:val="3"/>
          <w:numId w:val="25"/>
        </w:numPr>
      </w:pPr>
      <w:bookmarkStart w:id="31" w:name="_Toc71635402"/>
      <w:bookmarkEnd w:id="30"/>
      <w:r w:rsidRPr="00C83079">
        <w:t>If the signaling(s) is(are) not indicated, the legacy power allocation is used.</w:t>
      </w:r>
      <w:bookmarkEnd w:id="31"/>
    </w:p>
    <w:p w14:paraId="4F8D20BA" w14:textId="77777777" w:rsidR="00C83079" w:rsidRPr="00C83079" w:rsidRDefault="00C83079" w:rsidP="00C83079">
      <w:pPr>
        <w:pStyle w:val="Proposal"/>
        <w:numPr>
          <w:ilvl w:val="4"/>
          <w:numId w:val="25"/>
        </w:numPr>
      </w:pPr>
      <w:bookmarkStart w:id="32" w:name="_Toc71635403"/>
      <w:r w:rsidRPr="00C83079">
        <w:t>i.e., the ratio of NPDSCH EPRE to NRS EPRE is 0dB for one NRS antenna port, and -3dB for two NRS antenna ports</w:t>
      </w:r>
      <w:bookmarkEnd w:id="32"/>
    </w:p>
    <w:p w14:paraId="58F13C64" w14:textId="111649F2" w:rsidR="00482569" w:rsidRPr="00482569" w:rsidRDefault="00482569" w:rsidP="00482569">
      <w:pPr>
        <w:rPr>
          <w:b/>
          <w:lang w:val="en-US"/>
        </w:rPr>
      </w:pPr>
      <w:r>
        <w:t>Below we address the in-band deployments.</w:t>
      </w:r>
    </w:p>
    <w:p w14:paraId="2F56218F" w14:textId="1BA66158" w:rsidR="00C025C9" w:rsidRDefault="00C025C9" w:rsidP="00C025C9">
      <w:pPr>
        <w:pStyle w:val="ListParagraph"/>
        <w:numPr>
          <w:ilvl w:val="0"/>
          <w:numId w:val="46"/>
        </w:numPr>
        <w:rPr>
          <w:b/>
          <w:lang w:val="en-US"/>
        </w:rPr>
      </w:pPr>
      <w:r>
        <w:rPr>
          <w:b/>
          <w:lang w:val="en-US"/>
        </w:rPr>
        <w:t>In</w:t>
      </w:r>
      <w:r w:rsidRPr="00C025C9">
        <w:rPr>
          <w:b/>
          <w:lang w:val="en-US"/>
        </w:rPr>
        <w:t>-band deployments:</w:t>
      </w:r>
    </w:p>
    <w:p w14:paraId="16523C06" w14:textId="77777777" w:rsidR="00C025C9" w:rsidRDefault="00C025C9" w:rsidP="00C025C9">
      <w:pPr>
        <w:spacing w:after="0"/>
      </w:pPr>
    </w:p>
    <w:p w14:paraId="616B635F" w14:textId="6B34AD81" w:rsidR="0022736A" w:rsidRDefault="00DC0881" w:rsidP="008F59E5">
      <w:pPr>
        <w:jc w:val="both"/>
      </w:pPr>
      <w:r>
        <w:t xml:space="preserve">The </w:t>
      </w:r>
      <w:r w:rsidR="00B10A0D">
        <w:t xml:space="preserve">agreement </w:t>
      </w:r>
      <w:r>
        <w:t xml:space="preserve">from RAN1# 104-bis-e </w:t>
      </w:r>
      <w:r w:rsidR="00B10A0D">
        <w:t>states “</w:t>
      </w:r>
      <w:r w:rsidR="00B10A0D" w:rsidRPr="00DC0881">
        <w:rPr>
          <w:rFonts w:ascii="Times" w:eastAsia="Batang" w:hAnsi="Times"/>
          <w:i/>
          <w:iCs/>
          <w:sz w:val="18"/>
          <w:lang w:eastAsia="x-none"/>
        </w:rPr>
        <w:t>For inband deployments, the power ratio of NRS EPRE to CRS EPRE is signaled in addition to the signaling for standalone and guard-band deployments</w:t>
      </w:r>
      <w:r w:rsidR="00B10A0D">
        <w:t xml:space="preserve">”, </w:t>
      </w:r>
      <w:r w:rsidR="0022736A">
        <w:t>in relation to it we have the following observation</w:t>
      </w:r>
      <w:r w:rsidR="00BF4662">
        <w:t>s</w:t>
      </w:r>
      <w:r w:rsidR="0022736A">
        <w:t>:</w:t>
      </w:r>
    </w:p>
    <w:p w14:paraId="69A18296" w14:textId="77777777" w:rsidR="0022736A" w:rsidRDefault="0022736A" w:rsidP="0022736A">
      <w:pPr>
        <w:pStyle w:val="Observation"/>
        <w:ind w:left="1701" w:hanging="1701"/>
      </w:pPr>
      <w:bookmarkStart w:id="33" w:name="_Toc71635378"/>
      <w:r w:rsidRPr="0022736A">
        <w:t xml:space="preserve">In relation to signal the “power ratio of NRS EPRE to CRS EPRE” it is important to be aware that </w:t>
      </w:r>
      <w:r w:rsidRPr="0022736A">
        <w:rPr>
          <w:i/>
          <w:iCs/>
        </w:rPr>
        <w:t>1) For the different PCI case the CRS power is unknown for the UE</w:t>
      </w:r>
      <w:r w:rsidRPr="0022736A">
        <w:t xml:space="preserve">, and </w:t>
      </w:r>
      <w:r w:rsidRPr="0022736A">
        <w:rPr>
          <w:i/>
          <w:iCs/>
        </w:rPr>
        <w:t>2) For the same PCI case “nrs-CRS-PowerOffset” is not necessarily transmitted</w:t>
      </w:r>
      <w:r w:rsidRPr="0022736A">
        <w:t>.</w:t>
      </w:r>
      <w:bookmarkEnd w:id="33"/>
      <w:r w:rsidRPr="0022736A">
        <w:t xml:space="preserve"> </w:t>
      </w:r>
    </w:p>
    <w:p w14:paraId="1EDBC1FF" w14:textId="5CC36134" w:rsidR="0022736A" w:rsidRDefault="0022736A" w:rsidP="0022736A">
      <w:pPr>
        <w:pStyle w:val="Observation"/>
        <w:ind w:left="1701" w:hanging="1701"/>
      </w:pPr>
      <w:bookmarkStart w:id="34" w:name="_Toc71635379"/>
      <w:r w:rsidRPr="0022736A">
        <w:t xml:space="preserve">To overcome </w:t>
      </w:r>
      <w:r w:rsidR="005637DE">
        <w:t xml:space="preserve">the </w:t>
      </w:r>
      <w:r w:rsidRPr="0022736A">
        <w:t>lack of CRS power knowledge</w:t>
      </w:r>
      <w:r>
        <w:t xml:space="preserve"> mentioned in Observation 4</w:t>
      </w:r>
      <w:r w:rsidRPr="0022736A">
        <w:t>, it is more convenient to stay aligned with other deployment modes and with the agreement from RAN1# 103-e (“</w:t>
      </w:r>
      <w:r w:rsidRPr="0022736A">
        <w:rPr>
          <w:i/>
          <w:iCs/>
        </w:rPr>
        <w:t xml:space="preserve">… signaling of power ratios of </w:t>
      </w:r>
      <w:r w:rsidRPr="005637DE">
        <w:rPr>
          <w:i/>
          <w:iCs/>
          <w:u w:val="single"/>
        </w:rPr>
        <w:t>NPDSCH EPRE to NRS EPRE</w:t>
      </w:r>
      <w:r w:rsidRPr="0022736A">
        <w:rPr>
          <w:i/>
          <w:iCs/>
        </w:rPr>
        <w:t xml:space="preserve"> for the following cases is supported, … NPDSCH in symbols with CRS (only for “In-band” deployment</w:t>
      </w:r>
      <w:r w:rsidRPr="0022736A">
        <w:t xml:space="preserve">)”) as to signal for the in-band deployment: “the power ratio </w:t>
      </w:r>
      <w:r w:rsidRPr="005637DE">
        <w:rPr>
          <w:u w:val="single"/>
        </w:rPr>
        <w:t>NPDSCH EPRE to NRS EPRE</w:t>
      </w:r>
      <w:r w:rsidRPr="0022736A">
        <w:t xml:space="preserve"> in symbols with CRS”</w:t>
      </w:r>
      <w:r>
        <w:t>.</w:t>
      </w:r>
      <w:bookmarkEnd w:id="34"/>
    </w:p>
    <w:p w14:paraId="196AD3CC" w14:textId="4FC7C997" w:rsidR="005637DE" w:rsidRPr="00C025C9" w:rsidRDefault="005637DE" w:rsidP="008F59E5">
      <w:pPr>
        <w:jc w:val="both"/>
      </w:pPr>
      <w:r>
        <w:t>In line with the above observations we have the following proposal:</w:t>
      </w:r>
    </w:p>
    <w:p w14:paraId="747CF2C1" w14:textId="6AF70DF7" w:rsidR="00C83079" w:rsidRPr="00C83079" w:rsidRDefault="00C83079" w:rsidP="00C83079">
      <w:pPr>
        <w:pStyle w:val="Proposal"/>
      </w:pPr>
      <w:bookmarkStart w:id="35" w:name="_Toc71635404"/>
      <w:r w:rsidRPr="00C83079">
        <w:t xml:space="preserve">For </w:t>
      </w:r>
      <w:r>
        <w:t>the downlink power allocation, in case of “in</w:t>
      </w:r>
      <w:r w:rsidRPr="00C83079">
        <w:t>-band deployments</w:t>
      </w:r>
      <w:r>
        <w:t>”</w:t>
      </w:r>
      <w:r w:rsidR="005637DE">
        <w:t xml:space="preserve"> the following power ratio is signalled regardless of the PCI case</w:t>
      </w:r>
      <w:r>
        <w:t>:</w:t>
      </w:r>
      <w:bookmarkEnd w:id="35"/>
    </w:p>
    <w:p w14:paraId="7879C1EF" w14:textId="025E7376" w:rsidR="00C83079" w:rsidRPr="005637DE" w:rsidRDefault="00C83079" w:rsidP="00C83079">
      <w:pPr>
        <w:pStyle w:val="Proposal"/>
        <w:numPr>
          <w:ilvl w:val="2"/>
          <w:numId w:val="25"/>
        </w:numPr>
      </w:pPr>
      <w:bookmarkStart w:id="36" w:name="_Toc71635405"/>
      <w:r w:rsidRPr="005637DE">
        <w:t>“</w:t>
      </w:r>
      <w:r w:rsidR="005637DE">
        <w:t xml:space="preserve">The </w:t>
      </w:r>
      <w:r w:rsidRPr="005637DE">
        <w:t xml:space="preserve">power ratio of </w:t>
      </w:r>
      <w:r w:rsidR="005637DE" w:rsidRPr="005637DE">
        <w:t>NPDSCH</w:t>
      </w:r>
      <w:r w:rsidRPr="005637DE">
        <w:t xml:space="preserve"> EPRE to </w:t>
      </w:r>
      <w:r w:rsidR="005637DE" w:rsidRPr="005637DE">
        <w:t>N</w:t>
      </w:r>
      <w:r w:rsidRPr="005637DE">
        <w:t>RS EPRE</w:t>
      </w:r>
      <w:r w:rsidR="005637DE" w:rsidRPr="005637DE">
        <w:t xml:space="preserve"> in symbols with CRS”</w:t>
      </w:r>
      <w:r w:rsidRPr="005637DE">
        <w:t>.</w:t>
      </w:r>
      <w:bookmarkEnd w:id="36"/>
    </w:p>
    <w:p w14:paraId="01ED631D" w14:textId="55B13404" w:rsidR="00482569" w:rsidRPr="00482569" w:rsidRDefault="00482569" w:rsidP="00482569">
      <w:pPr>
        <w:rPr>
          <w:b/>
          <w:lang w:val="en-US"/>
        </w:rPr>
      </w:pPr>
      <w:r>
        <w:t>Below we address the signalling aspects for “Stand-alone”, “Guard-band” and “In-band” deployments.</w:t>
      </w:r>
    </w:p>
    <w:p w14:paraId="176C6910" w14:textId="3A1C3131" w:rsidR="00482569" w:rsidRPr="00482569" w:rsidRDefault="00482569" w:rsidP="00482569">
      <w:pPr>
        <w:pStyle w:val="ListParagraph"/>
        <w:numPr>
          <w:ilvl w:val="0"/>
          <w:numId w:val="46"/>
        </w:numPr>
        <w:rPr>
          <w:b/>
          <w:lang w:val="en-US"/>
        </w:rPr>
      </w:pPr>
      <w:r>
        <w:rPr>
          <w:b/>
          <w:lang w:val="en-US"/>
        </w:rPr>
        <w:t>Signaling Aspects</w:t>
      </w:r>
      <w:r w:rsidRPr="00C025C9">
        <w:rPr>
          <w:b/>
          <w:lang w:val="en-US"/>
        </w:rPr>
        <w:t>:</w:t>
      </w:r>
    </w:p>
    <w:p w14:paraId="641D8B3E" w14:textId="77777777" w:rsidR="00482569" w:rsidRPr="00482569" w:rsidRDefault="00482569" w:rsidP="00482569">
      <w:pPr>
        <w:pStyle w:val="ListParagraph"/>
        <w:ind w:left="360"/>
        <w:rPr>
          <w:b/>
          <w:lang w:val="en-US"/>
        </w:rPr>
      </w:pPr>
    </w:p>
    <w:p w14:paraId="6F8B798A" w14:textId="40D2A8EF" w:rsidR="00EB2490" w:rsidRDefault="00B828BB" w:rsidP="00AB6455">
      <w:r>
        <w:t>Once the above aspects ha</w:t>
      </w:r>
      <w:r w:rsidR="00F30620">
        <w:t>ve</w:t>
      </w:r>
      <w:r>
        <w:t xml:space="preserve"> been discussed and agreements ha</w:t>
      </w:r>
      <w:r w:rsidR="00F30620">
        <w:t>ve</w:t>
      </w:r>
      <w:r>
        <w:t xml:space="preserve"> been reached,</w:t>
      </w:r>
      <w:r w:rsidR="00BF0FBC">
        <w:t xml:space="preserve"> a second order</w:t>
      </w:r>
      <w:r>
        <w:t xml:space="preserve"> discussion has to do with the following “</w:t>
      </w:r>
      <w:r w:rsidRPr="00B828BB">
        <w:rPr>
          <w:i/>
          <w:iCs/>
        </w:rPr>
        <w:t>FFS: Whether UE specific or cell-specific or carrier-specific signaling is used</w:t>
      </w:r>
      <w:r>
        <w:t>”. The decision on which signalling type to use is highly dependent on whether the downlink power allocation framework used in LTE is going to be followed or not. Hence, in principle there are two different approaches that could be followed:</w:t>
      </w:r>
    </w:p>
    <w:p w14:paraId="6113B32B" w14:textId="378227D0" w:rsidR="00C31205" w:rsidRDefault="00C31205" w:rsidP="00AB6455">
      <w:r>
        <w:t xml:space="preserve">Let’s us first define: </w:t>
      </w:r>
      <w:r w:rsidRPr="00C31205">
        <w:rPr>
          <w:b/>
          <w:bCs/>
          <w:lang w:val="en-US"/>
        </w:rPr>
        <w:t xml:space="preserve">ρ_a </w:t>
      </w:r>
      <w:r w:rsidRPr="00C31205">
        <w:rPr>
          <w:lang w:val="en-US"/>
        </w:rPr>
        <w:t xml:space="preserve">= </w:t>
      </w:r>
      <w:r>
        <w:rPr>
          <w:lang w:val="en-US"/>
        </w:rPr>
        <w:t xml:space="preserve">power ratio of </w:t>
      </w:r>
      <w:r w:rsidRPr="00C31205">
        <w:rPr>
          <w:lang w:val="en-US"/>
        </w:rPr>
        <w:t xml:space="preserve">NPDSCH EPRE to NRS EPRE in symbols without NRS, </w:t>
      </w:r>
      <w:r w:rsidRPr="00C31205">
        <w:rPr>
          <w:b/>
          <w:bCs/>
          <w:lang w:val="en-US"/>
        </w:rPr>
        <w:t>ρ_b</w:t>
      </w:r>
      <w:r>
        <w:rPr>
          <w:lang w:val="en-US"/>
        </w:rPr>
        <w:t xml:space="preserve"> = power ratio of </w:t>
      </w:r>
      <w:r w:rsidRPr="00C31205">
        <w:rPr>
          <w:lang w:val="en-US"/>
        </w:rPr>
        <w:t xml:space="preserve">NPDSCH EPRE to NRS EPRE in symbols with NRS, and </w:t>
      </w:r>
      <w:r w:rsidRPr="00C31205">
        <w:rPr>
          <w:b/>
          <w:bCs/>
          <w:lang w:val="en-US"/>
        </w:rPr>
        <w:t>ρ_c</w:t>
      </w:r>
      <w:r w:rsidRPr="00C31205">
        <w:rPr>
          <w:lang w:val="en-US"/>
        </w:rPr>
        <w:t xml:space="preserve"> =</w:t>
      </w:r>
      <w:r>
        <w:rPr>
          <w:lang w:val="en-US"/>
        </w:rPr>
        <w:t xml:space="preserve"> power ratio of </w:t>
      </w:r>
      <w:r w:rsidR="005637DE">
        <w:rPr>
          <w:lang w:val="en-US"/>
        </w:rPr>
        <w:t>NPDSCH</w:t>
      </w:r>
      <w:r w:rsidRPr="00C31205">
        <w:rPr>
          <w:lang w:val="en-US"/>
        </w:rPr>
        <w:t xml:space="preserve"> EPRE to </w:t>
      </w:r>
      <w:r w:rsidR="005637DE">
        <w:rPr>
          <w:lang w:val="en-US"/>
        </w:rPr>
        <w:t>N</w:t>
      </w:r>
      <w:r w:rsidRPr="00C31205">
        <w:rPr>
          <w:lang w:val="en-US"/>
        </w:rPr>
        <w:t>RS EPRE</w:t>
      </w:r>
      <w:r w:rsidR="00BA6EDF" w:rsidRPr="00BA6EDF">
        <w:rPr>
          <w:lang w:val="en-US"/>
        </w:rPr>
        <w:t xml:space="preserve"> </w:t>
      </w:r>
      <w:r w:rsidR="00BA6EDF" w:rsidRPr="00C31205">
        <w:rPr>
          <w:lang w:val="en-US"/>
        </w:rPr>
        <w:t xml:space="preserve">in symbols with </w:t>
      </w:r>
      <w:r w:rsidR="00BA6EDF">
        <w:rPr>
          <w:lang w:val="en-US"/>
        </w:rPr>
        <w:t>C</w:t>
      </w:r>
      <w:r w:rsidR="00BA6EDF" w:rsidRPr="00C31205">
        <w:rPr>
          <w:lang w:val="en-US"/>
        </w:rPr>
        <w:t>RS</w:t>
      </w:r>
      <w:r>
        <w:rPr>
          <w:lang w:val="en-US"/>
        </w:rPr>
        <w:t>.</w:t>
      </w:r>
    </w:p>
    <w:p w14:paraId="3B7998E1" w14:textId="2CEF1C93" w:rsidR="00B828BB" w:rsidRDefault="00B828BB" w:rsidP="00AE5174">
      <w:pPr>
        <w:pStyle w:val="ListParagraph"/>
        <w:numPr>
          <w:ilvl w:val="0"/>
          <w:numId w:val="46"/>
        </w:numPr>
        <w:rPr>
          <w:rFonts w:ascii="Times New Roman" w:eastAsia="SimSun" w:hAnsi="Times New Roman"/>
          <w:sz w:val="20"/>
          <w:szCs w:val="20"/>
          <w:lang w:val="en-GB" w:eastAsia="ja-JP"/>
        </w:rPr>
      </w:pPr>
      <w:r w:rsidRPr="00832DB9">
        <w:rPr>
          <w:rFonts w:ascii="Times New Roman" w:eastAsia="SimSun" w:hAnsi="Times New Roman"/>
          <w:b/>
          <w:bCs/>
          <w:sz w:val="20"/>
          <w:szCs w:val="20"/>
          <w:lang w:val="en-GB" w:eastAsia="ja-JP"/>
        </w:rPr>
        <w:lastRenderedPageBreak/>
        <w:t>Signaling Approach 1:</w:t>
      </w:r>
      <w:r w:rsidR="0042725C" w:rsidRPr="00CC09C9">
        <w:rPr>
          <w:rFonts w:ascii="Times New Roman" w:eastAsia="SimSun" w:hAnsi="Times New Roman"/>
          <w:sz w:val="20"/>
          <w:szCs w:val="20"/>
          <w:lang w:val="en-GB" w:eastAsia="ja-JP"/>
        </w:rPr>
        <w:t xml:space="preserve"> In this approach, the signalled data-to-pilot power ratios </w:t>
      </w:r>
      <w:r w:rsidR="00CC09C9" w:rsidRPr="00C31205">
        <w:rPr>
          <w:rFonts w:ascii="Times New Roman" w:hAnsi="Times New Roman"/>
          <w:b/>
          <w:bCs/>
          <w:sz w:val="20"/>
          <w:szCs w:val="20"/>
          <w:lang w:val="en-US"/>
        </w:rPr>
        <w:t>ρ_a</w:t>
      </w:r>
      <w:r w:rsidR="00CC09C9">
        <w:rPr>
          <w:rFonts w:ascii="Times New Roman" w:eastAsia="SimSun" w:hAnsi="Times New Roman"/>
          <w:sz w:val="20"/>
          <w:szCs w:val="20"/>
          <w:lang w:val="en-GB" w:eastAsia="ja-JP"/>
        </w:rPr>
        <w:t xml:space="preserve">, </w:t>
      </w:r>
      <w:r w:rsidR="00CC09C9" w:rsidRPr="00C31205">
        <w:rPr>
          <w:rFonts w:ascii="Times New Roman" w:hAnsi="Times New Roman"/>
          <w:b/>
          <w:bCs/>
          <w:sz w:val="20"/>
          <w:szCs w:val="20"/>
          <w:lang w:val="en-US"/>
        </w:rPr>
        <w:t>ρ_</w:t>
      </w:r>
      <w:r w:rsidR="00CC09C9">
        <w:rPr>
          <w:rFonts w:ascii="Times New Roman" w:hAnsi="Times New Roman"/>
          <w:b/>
          <w:bCs/>
          <w:sz w:val="20"/>
          <w:szCs w:val="20"/>
          <w:lang w:val="en-US"/>
        </w:rPr>
        <w:t>b</w:t>
      </w:r>
      <w:r w:rsidR="00CC09C9">
        <w:rPr>
          <w:rFonts w:ascii="Times New Roman" w:eastAsia="SimSun" w:hAnsi="Times New Roman"/>
          <w:sz w:val="20"/>
          <w:szCs w:val="20"/>
          <w:lang w:val="en-GB" w:eastAsia="ja-JP"/>
        </w:rPr>
        <w:t xml:space="preserve">, and </w:t>
      </w:r>
      <w:r w:rsidR="00CC09C9" w:rsidRPr="00C31205">
        <w:rPr>
          <w:rFonts w:ascii="Times New Roman" w:hAnsi="Times New Roman"/>
          <w:b/>
          <w:bCs/>
          <w:sz w:val="20"/>
          <w:szCs w:val="20"/>
          <w:lang w:val="en-US"/>
        </w:rPr>
        <w:t>ρ_</w:t>
      </w:r>
      <w:r w:rsidR="00CC09C9">
        <w:rPr>
          <w:rFonts w:ascii="Times New Roman" w:hAnsi="Times New Roman"/>
          <w:b/>
          <w:bCs/>
          <w:sz w:val="20"/>
          <w:szCs w:val="20"/>
          <w:lang w:val="en-US"/>
        </w:rPr>
        <w:t>c,</w:t>
      </w:r>
      <w:r w:rsidR="00CC09C9" w:rsidRPr="00C31205">
        <w:rPr>
          <w:rFonts w:ascii="Times New Roman" w:hAnsi="Times New Roman"/>
          <w:b/>
          <w:bCs/>
          <w:sz w:val="20"/>
          <w:szCs w:val="20"/>
          <w:lang w:val="en-US"/>
        </w:rPr>
        <w:t xml:space="preserve"> </w:t>
      </w:r>
      <w:r w:rsidR="00CC09C9">
        <w:rPr>
          <w:rFonts w:ascii="Times New Roman" w:eastAsia="SimSun" w:hAnsi="Times New Roman"/>
          <w:sz w:val="20"/>
          <w:szCs w:val="20"/>
          <w:lang w:val="en-GB" w:eastAsia="ja-JP"/>
        </w:rPr>
        <w:t>are each of them indicated in a straight way using UE specific signalling.</w:t>
      </w:r>
    </w:p>
    <w:p w14:paraId="37363EDD" w14:textId="77777777" w:rsidR="00CC09C9" w:rsidRPr="00CC09C9" w:rsidRDefault="00CC09C9" w:rsidP="00CC09C9">
      <w:pPr>
        <w:pStyle w:val="ListParagraph"/>
        <w:ind w:left="360"/>
        <w:rPr>
          <w:rFonts w:ascii="Times New Roman" w:eastAsia="SimSun" w:hAnsi="Times New Roman"/>
          <w:sz w:val="20"/>
          <w:szCs w:val="20"/>
          <w:lang w:val="en-GB" w:eastAsia="ja-JP"/>
        </w:rPr>
      </w:pPr>
    </w:p>
    <w:p w14:paraId="14C36172" w14:textId="4D9A46C8" w:rsidR="0011639F" w:rsidRDefault="00B828BB" w:rsidP="007E7343">
      <w:pPr>
        <w:pStyle w:val="ListParagraph"/>
        <w:numPr>
          <w:ilvl w:val="0"/>
          <w:numId w:val="46"/>
        </w:numPr>
        <w:rPr>
          <w:rFonts w:ascii="Times New Roman" w:eastAsia="SimSun" w:hAnsi="Times New Roman"/>
          <w:sz w:val="20"/>
          <w:szCs w:val="20"/>
          <w:lang w:val="en-GB" w:eastAsia="ja-JP"/>
        </w:rPr>
      </w:pPr>
      <w:r w:rsidRPr="00832DB9">
        <w:rPr>
          <w:rFonts w:ascii="Times New Roman" w:eastAsia="SimSun" w:hAnsi="Times New Roman"/>
          <w:b/>
          <w:bCs/>
          <w:sz w:val="20"/>
          <w:szCs w:val="20"/>
          <w:lang w:val="en-GB" w:eastAsia="ja-JP"/>
        </w:rPr>
        <w:t>Signaling Approach 2 (LTE framework):</w:t>
      </w:r>
      <w:r w:rsidR="00CC09C9">
        <w:rPr>
          <w:rFonts w:ascii="Times New Roman" w:eastAsia="SimSun" w:hAnsi="Times New Roman"/>
          <w:sz w:val="20"/>
          <w:szCs w:val="20"/>
          <w:lang w:val="en-GB" w:eastAsia="ja-JP"/>
        </w:rPr>
        <w:t xml:space="preserve"> In this approach, </w:t>
      </w:r>
      <w:r w:rsidR="00CC09C9" w:rsidRPr="00CC09C9">
        <w:rPr>
          <w:rFonts w:ascii="Times New Roman" w:eastAsia="SimSun" w:hAnsi="Times New Roman"/>
          <w:sz w:val="20"/>
          <w:szCs w:val="20"/>
          <w:lang w:val="en-GB" w:eastAsia="ja-JP"/>
        </w:rPr>
        <w:t xml:space="preserve">the signalled data-to-pilot power ratios </w:t>
      </w:r>
      <w:r w:rsidR="00CC09C9" w:rsidRPr="00C31205">
        <w:rPr>
          <w:rFonts w:ascii="Times New Roman" w:hAnsi="Times New Roman"/>
          <w:b/>
          <w:bCs/>
          <w:sz w:val="20"/>
          <w:szCs w:val="20"/>
          <w:lang w:val="en-US"/>
        </w:rPr>
        <w:t>ρ_a</w:t>
      </w:r>
      <w:r w:rsidR="00CC09C9">
        <w:rPr>
          <w:rFonts w:ascii="Times New Roman" w:eastAsia="SimSun" w:hAnsi="Times New Roman"/>
          <w:sz w:val="20"/>
          <w:szCs w:val="20"/>
          <w:lang w:val="en-GB" w:eastAsia="ja-JP"/>
        </w:rPr>
        <w:t xml:space="preserve">, </w:t>
      </w:r>
      <w:r w:rsidR="00CC09C9" w:rsidRPr="00C31205">
        <w:rPr>
          <w:rFonts w:ascii="Times New Roman" w:hAnsi="Times New Roman"/>
          <w:b/>
          <w:bCs/>
          <w:sz w:val="20"/>
          <w:szCs w:val="20"/>
          <w:lang w:val="en-US"/>
        </w:rPr>
        <w:t>ρ_</w:t>
      </w:r>
      <w:r w:rsidR="00CC09C9">
        <w:rPr>
          <w:rFonts w:ascii="Times New Roman" w:hAnsi="Times New Roman"/>
          <w:b/>
          <w:bCs/>
          <w:sz w:val="20"/>
          <w:szCs w:val="20"/>
          <w:lang w:val="en-US"/>
        </w:rPr>
        <w:t>b</w:t>
      </w:r>
      <w:r w:rsidR="00CC09C9">
        <w:rPr>
          <w:rFonts w:ascii="Times New Roman" w:eastAsia="SimSun" w:hAnsi="Times New Roman"/>
          <w:sz w:val="20"/>
          <w:szCs w:val="20"/>
          <w:lang w:val="en-GB" w:eastAsia="ja-JP"/>
        </w:rPr>
        <w:t xml:space="preserve">, and </w:t>
      </w:r>
      <w:r w:rsidR="00CC09C9" w:rsidRPr="00C31205">
        <w:rPr>
          <w:rFonts w:ascii="Times New Roman" w:hAnsi="Times New Roman"/>
          <w:b/>
          <w:bCs/>
          <w:sz w:val="20"/>
          <w:szCs w:val="20"/>
          <w:lang w:val="en-US"/>
        </w:rPr>
        <w:t>ρ_</w:t>
      </w:r>
      <w:r w:rsidR="00CC09C9">
        <w:rPr>
          <w:rFonts w:ascii="Times New Roman" w:hAnsi="Times New Roman"/>
          <w:b/>
          <w:bCs/>
          <w:sz w:val="20"/>
          <w:szCs w:val="20"/>
          <w:lang w:val="en-US"/>
        </w:rPr>
        <w:t>c</w:t>
      </w:r>
      <w:r w:rsidR="00CC09C9" w:rsidRPr="00C31205">
        <w:rPr>
          <w:rFonts w:ascii="Times New Roman" w:hAnsi="Times New Roman"/>
          <w:b/>
          <w:bCs/>
          <w:sz w:val="20"/>
          <w:szCs w:val="20"/>
          <w:lang w:val="en-US"/>
        </w:rPr>
        <w:t xml:space="preserve"> </w:t>
      </w:r>
      <w:r w:rsidR="00CC09C9">
        <w:rPr>
          <w:rFonts w:ascii="Times New Roman" w:eastAsia="SimSun" w:hAnsi="Times New Roman"/>
          <w:sz w:val="20"/>
          <w:szCs w:val="20"/>
          <w:lang w:val="en-US" w:eastAsia="ja-JP"/>
        </w:rPr>
        <w:t xml:space="preserve">would be </w:t>
      </w:r>
      <w:r w:rsidR="00CC09C9" w:rsidRPr="00CC09C9">
        <w:rPr>
          <w:rFonts w:ascii="Times New Roman" w:eastAsia="SimSun" w:hAnsi="Times New Roman"/>
          <w:sz w:val="20"/>
          <w:szCs w:val="20"/>
          <w:lang w:val="en-GB" w:eastAsia="ja-JP"/>
        </w:rPr>
        <w:t xml:space="preserve">associated </w:t>
      </w:r>
      <w:r w:rsidR="00CC09C9">
        <w:rPr>
          <w:rFonts w:ascii="Times New Roman" w:eastAsia="SimSun" w:hAnsi="Times New Roman"/>
          <w:sz w:val="20"/>
          <w:szCs w:val="20"/>
          <w:lang w:val="en-GB" w:eastAsia="ja-JP"/>
        </w:rPr>
        <w:t>with</w:t>
      </w:r>
      <w:r w:rsidR="00CC09C9" w:rsidRPr="00CC09C9">
        <w:rPr>
          <w:rFonts w:ascii="Times New Roman" w:eastAsia="SimSun" w:hAnsi="Times New Roman"/>
          <w:sz w:val="20"/>
          <w:szCs w:val="20"/>
          <w:lang w:val="en-GB" w:eastAsia="ja-JP"/>
        </w:rPr>
        <w:t xml:space="preserve"> three indices </w:t>
      </w:r>
      <w:r w:rsidR="00CC09C9" w:rsidRPr="00CC09C9">
        <w:rPr>
          <w:rFonts w:ascii="Times New Roman" w:eastAsia="SimSun" w:hAnsi="Times New Roman"/>
          <w:b/>
          <w:bCs/>
          <w:sz w:val="20"/>
          <w:szCs w:val="20"/>
          <w:lang w:val="en-GB" w:eastAsia="ja-JP"/>
        </w:rPr>
        <w:t>PA</w:t>
      </w:r>
      <w:r w:rsidR="00CC09C9" w:rsidRPr="00CC09C9">
        <w:rPr>
          <w:rFonts w:ascii="Times New Roman" w:eastAsia="SimSun" w:hAnsi="Times New Roman"/>
          <w:sz w:val="20"/>
          <w:szCs w:val="20"/>
          <w:lang w:val="en-GB" w:eastAsia="ja-JP"/>
        </w:rPr>
        <w:t xml:space="preserve">, </w:t>
      </w:r>
      <w:r w:rsidR="00CC09C9" w:rsidRPr="00CC09C9">
        <w:rPr>
          <w:rFonts w:ascii="Times New Roman" w:eastAsia="SimSun" w:hAnsi="Times New Roman"/>
          <w:b/>
          <w:bCs/>
          <w:sz w:val="20"/>
          <w:szCs w:val="20"/>
          <w:lang w:val="en-GB" w:eastAsia="ja-JP"/>
        </w:rPr>
        <w:t>PB</w:t>
      </w:r>
      <w:r w:rsidR="00CC09C9" w:rsidRPr="00CC09C9">
        <w:rPr>
          <w:rFonts w:ascii="Times New Roman" w:eastAsia="SimSun" w:hAnsi="Times New Roman"/>
          <w:sz w:val="20"/>
          <w:szCs w:val="20"/>
          <w:lang w:val="en-GB" w:eastAsia="ja-JP"/>
        </w:rPr>
        <w:t xml:space="preserve">, and </w:t>
      </w:r>
      <w:r w:rsidR="00CC09C9" w:rsidRPr="00CC09C9">
        <w:rPr>
          <w:rFonts w:ascii="Times New Roman" w:eastAsia="SimSun" w:hAnsi="Times New Roman"/>
          <w:b/>
          <w:bCs/>
          <w:sz w:val="20"/>
          <w:szCs w:val="20"/>
          <w:lang w:val="en-GB" w:eastAsia="ja-JP"/>
        </w:rPr>
        <w:t>PC</w:t>
      </w:r>
      <w:r w:rsidR="00CC09C9">
        <w:rPr>
          <w:rFonts w:ascii="Times New Roman" w:eastAsia="SimSun" w:hAnsi="Times New Roman"/>
          <w:sz w:val="20"/>
          <w:szCs w:val="20"/>
          <w:lang w:val="en-GB" w:eastAsia="ja-JP"/>
        </w:rPr>
        <w:t xml:space="preserve"> </w:t>
      </w:r>
      <w:r w:rsidR="00832DB9">
        <w:rPr>
          <w:rFonts w:ascii="Times New Roman" w:eastAsia="SimSun" w:hAnsi="Times New Roman"/>
          <w:sz w:val="20"/>
          <w:szCs w:val="20"/>
          <w:lang w:val="en-GB" w:eastAsia="ja-JP"/>
        </w:rPr>
        <w:t xml:space="preserve">through </w:t>
      </w:r>
      <w:r w:rsidR="007E7343">
        <w:rPr>
          <w:rFonts w:ascii="Times New Roman" w:eastAsia="SimSun" w:hAnsi="Times New Roman"/>
          <w:sz w:val="20"/>
          <w:szCs w:val="20"/>
          <w:lang w:val="en-GB" w:eastAsia="ja-JP"/>
        </w:rPr>
        <w:t xml:space="preserve">a </w:t>
      </w:r>
      <w:r w:rsidR="00832DB9">
        <w:rPr>
          <w:rFonts w:ascii="Times New Roman" w:eastAsia="SimSun" w:hAnsi="Times New Roman"/>
          <w:sz w:val="20"/>
          <w:szCs w:val="20"/>
          <w:lang w:val="en-GB" w:eastAsia="ja-JP"/>
        </w:rPr>
        <w:t>table mapping indices vs power ratios</w:t>
      </w:r>
      <w:r w:rsidR="007E7343">
        <w:rPr>
          <w:rFonts w:ascii="Times New Roman" w:eastAsia="SimSun" w:hAnsi="Times New Roman"/>
          <w:sz w:val="20"/>
          <w:szCs w:val="20"/>
          <w:lang w:val="en-GB" w:eastAsia="ja-JP"/>
        </w:rPr>
        <w:t xml:space="preserve"> (See e.g., </w:t>
      </w:r>
      <w:r w:rsidR="007E7343" w:rsidRPr="007E7343">
        <w:rPr>
          <w:rFonts w:ascii="Times New Roman" w:eastAsia="SimSun" w:hAnsi="Times New Roman"/>
          <w:sz w:val="20"/>
          <w:szCs w:val="20"/>
          <w:lang w:val="en-GB" w:eastAsia="ja-JP"/>
        </w:rPr>
        <w:t>Table 5.2-1</w:t>
      </w:r>
      <w:r w:rsidR="007E7343">
        <w:rPr>
          <w:rFonts w:ascii="Times New Roman" w:eastAsia="SimSun" w:hAnsi="Times New Roman"/>
          <w:sz w:val="20"/>
          <w:szCs w:val="20"/>
          <w:lang w:val="en-GB" w:eastAsia="ja-JP"/>
        </w:rPr>
        <w:t xml:space="preserve"> in TS 36.213)</w:t>
      </w:r>
      <w:r w:rsidR="00CC09C9">
        <w:rPr>
          <w:rFonts w:ascii="Times New Roman" w:eastAsia="SimSun" w:hAnsi="Times New Roman"/>
          <w:sz w:val="20"/>
          <w:szCs w:val="20"/>
          <w:lang w:val="en-GB" w:eastAsia="ja-JP"/>
        </w:rPr>
        <w:t>,</w:t>
      </w:r>
      <w:r w:rsidR="00CC09C9" w:rsidRPr="00CC09C9">
        <w:rPr>
          <w:rFonts w:ascii="Times New Roman" w:eastAsia="SimSun" w:hAnsi="Times New Roman"/>
          <w:sz w:val="20"/>
          <w:szCs w:val="20"/>
          <w:lang w:val="en-GB" w:eastAsia="ja-JP"/>
        </w:rPr>
        <w:t xml:space="preserve"> </w:t>
      </w:r>
      <w:r w:rsidR="00832DB9">
        <w:rPr>
          <w:rFonts w:ascii="Times New Roman" w:eastAsia="SimSun" w:hAnsi="Times New Roman"/>
          <w:sz w:val="20"/>
          <w:szCs w:val="20"/>
          <w:lang w:val="en-GB" w:eastAsia="ja-JP"/>
        </w:rPr>
        <w:t>using</w:t>
      </w:r>
      <w:r w:rsidR="00CC09C9" w:rsidRPr="00CC09C9">
        <w:rPr>
          <w:rFonts w:ascii="Times New Roman" w:eastAsia="SimSun" w:hAnsi="Times New Roman"/>
          <w:sz w:val="20"/>
          <w:szCs w:val="20"/>
          <w:lang w:val="en-GB" w:eastAsia="ja-JP"/>
        </w:rPr>
        <w:t xml:space="preserve"> </w:t>
      </w:r>
      <w:r w:rsidR="00832DB9">
        <w:rPr>
          <w:rFonts w:ascii="Times New Roman" w:eastAsia="SimSun" w:hAnsi="Times New Roman"/>
          <w:sz w:val="20"/>
          <w:szCs w:val="20"/>
          <w:lang w:val="en-GB" w:eastAsia="ja-JP"/>
        </w:rPr>
        <w:t xml:space="preserve">e.g., </w:t>
      </w:r>
      <w:r w:rsidR="00CC09C9" w:rsidRPr="00CC09C9">
        <w:rPr>
          <w:rFonts w:ascii="Times New Roman" w:eastAsia="SimSun" w:hAnsi="Times New Roman"/>
          <w:sz w:val="20"/>
          <w:szCs w:val="20"/>
          <w:lang w:val="en-GB" w:eastAsia="ja-JP"/>
        </w:rPr>
        <w:t>UE specific signaling for PA, and cell specific signaling for PB and PC</w:t>
      </w:r>
      <w:r w:rsidR="00832DB9">
        <w:rPr>
          <w:rFonts w:ascii="Times New Roman" w:eastAsia="SimSun" w:hAnsi="Times New Roman"/>
          <w:sz w:val="20"/>
          <w:szCs w:val="20"/>
          <w:lang w:val="en-GB" w:eastAsia="ja-JP"/>
        </w:rPr>
        <w:t xml:space="preserve"> as to reduce the higher layer signalling overhead.</w:t>
      </w:r>
    </w:p>
    <w:p w14:paraId="62AED98C" w14:textId="77777777" w:rsidR="007E7343" w:rsidRPr="007E7343" w:rsidRDefault="007E7343" w:rsidP="007E7343">
      <w:pPr>
        <w:pStyle w:val="ListParagraph"/>
        <w:rPr>
          <w:rFonts w:ascii="Times New Roman" w:eastAsia="SimSun" w:hAnsi="Times New Roman"/>
          <w:sz w:val="20"/>
          <w:szCs w:val="20"/>
          <w:lang w:val="en-GB" w:eastAsia="ja-JP"/>
        </w:rPr>
      </w:pPr>
    </w:p>
    <w:p w14:paraId="329A40A5" w14:textId="30AF8A01" w:rsidR="007E7343" w:rsidRDefault="007E7343" w:rsidP="007F7A77">
      <w:pPr>
        <w:pStyle w:val="Observation"/>
        <w:ind w:left="1701" w:hanging="1701"/>
      </w:pPr>
      <w:bookmarkStart w:id="37" w:name="_Toc71635380"/>
      <w:r>
        <w:t>I</w:t>
      </w:r>
      <w:r w:rsidR="00E7082B">
        <w:t>n terms of signalling</w:t>
      </w:r>
      <w:r w:rsidR="007F7A77">
        <w:t xml:space="preserve"> for the downlink power allocation, in LTE the data-to-pilot power ratios are associated to indices </w:t>
      </w:r>
      <w:r w:rsidR="007F7A77" w:rsidRPr="007F7A77">
        <w:t>through a table</w:t>
      </w:r>
      <w:r w:rsidR="007F7A77">
        <w:t>:</w:t>
      </w:r>
      <w:r w:rsidR="007F7A77" w:rsidRPr="007F7A77">
        <w:t xml:space="preserve"> mapping indices vs power ratio</w:t>
      </w:r>
      <w:r w:rsidR="007F7A77">
        <w:t>s</w:t>
      </w:r>
      <w:r w:rsidR="007F7A77" w:rsidRPr="007F7A77">
        <w:t xml:space="preserve"> (See e.g., Table 5.2-1 in TS 36.213)</w:t>
      </w:r>
      <w:r w:rsidR="007F7A77">
        <w:t>.</w:t>
      </w:r>
      <w:bookmarkEnd w:id="37"/>
    </w:p>
    <w:p w14:paraId="0429AF88" w14:textId="25053E8B" w:rsidR="007E7343" w:rsidRDefault="007F7A77" w:rsidP="007F7A77">
      <w:pPr>
        <w:pStyle w:val="Observation"/>
        <w:ind w:left="1701" w:hanging="1701"/>
      </w:pPr>
      <w:bookmarkStart w:id="38" w:name="_Toc71635381"/>
      <w:r>
        <w:t>The downlink power allocation using the LTE approach (</w:t>
      </w:r>
      <w:r w:rsidRPr="007F7A77">
        <w:t>table mapping indices vs power ratio</w:t>
      </w:r>
      <w:r>
        <w:t>s) allows to obtain higher layer signaling savings.</w:t>
      </w:r>
      <w:bookmarkEnd w:id="38"/>
    </w:p>
    <w:p w14:paraId="553D23ED" w14:textId="58161B3D" w:rsidR="00920DC7" w:rsidRDefault="00920DC7" w:rsidP="007F7A77">
      <w:pPr>
        <w:pStyle w:val="Observation"/>
        <w:ind w:left="1701" w:hanging="1701"/>
      </w:pPr>
      <w:bookmarkStart w:id="39" w:name="_Toc71635382"/>
      <w:r>
        <w:t>Although re-using the LTE framework is a good design principle, if we consider that there might be mixed deployments modes of anchor and non-anchor carriers (e.g., anchor Guard-band and non-anchor In-band) the “Signaling Approach 1” is more suitable to deal with those scenarios</w:t>
      </w:r>
      <w:r w:rsidR="003E1A10">
        <w:t xml:space="preserve"> than having to dependent on nrs-CRS.PowerOffset transmitted via SIB1-NB using </w:t>
      </w:r>
      <w:r w:rsidR="003E1A10" w:rsidRPr="003E1A10">
        <w:t>"Cond inband-SamePCI-ExceptAnchor</w:t>
      </w:r>
      <w:r w:rsidR="003E1A10">
        <w:t>”</w:t>
      </w:r>
      <w:r>
        <w:t>.</w:t>
      </w:r>
      <w:bookmarkEnd w:id="39"/>
    </w:p>
    <w:p w14:paraId="313660EC" w14:textId="619D3E1F" w:rsidR="007F7A77" w:rsidRDefault="007F7A77" w:rsidP="007F7A77">
      <w:pPr>
        <w:pStyle w:val="Proposal"/>
      </w:pPr>
      <w:bookmarkStart w:id="40" w:name="_Toc71635406"/>
      <w:r>
        <w:t xml:space="preserve">The </w:t>
      </w:r>
      <w:r w:rsidR="00920DC7">
        <w:t>signal</w:t>
      </w:r>
      <w:r w:rsidR="00FE3F21">
        <w:t>l</w:t>
      </w:r>
      <w:r w:rsidR="00920DC7">
        <w:t xml:space="preserve">ing for the </w:t>
      </w:r>
      <w:r>
        <w:t>downlink power allocation for 16-QAM</w:t>
      </w:r>
      <w:r w:rsidR="00920DC7">
        <w:t xml:space="preserve"> is as follows</w:t>
      </w:r>
      <w:r>
        <w:t>:</w:t>
      </w:r>
      <w:bookmarkEnd w:id="40"/>
    </w:p>
    <w:p w14:paraId="0825E39E" w14:textId="2F945AC5" w:rsidR="007F7A77" w:rsidRDefault="007F7A77" w:rsidP="007F7A77">
      <w:pPr>
        <w:pStyle w:val="Proposal"/>
        <w:numPr>
          <w:ilvl w:val="0"/>
          <w:numId w:val="47"/>
        </w:numPr>
      </w:pPr>
      <w:bookmarkStart w:id="41" w:name="_Toc71635407"/>
      <w:r w:rsidRPr="007F7A77">
        <w:t xml:space="preserve">ρ_a = power ratio of NPDSCH EPRE to NRS EPRE in symbols without NRS, ρ_b = power ratio of NPDSCH EPRE to NRS EPRE in symbols with NRS, and ρ_c = power ratio of </w:t>
      </w:r>
      <w:r w:rsidR="00BB65B3">
        <w:t>NPDSCH</w:t>
      </w:r>
      <w:r w:rsidRPr="007F7A77">
        <w:t xml:space="preserve"> EPRE to </w:t>
      </w:r>
      <w:r w:rsidR="00BB65B3">
        <w:t>N</w:t>
      </w:r>
      <w:r w:rsidRPr="007F7A77">
        <w:t>RS EPRE</w:t>
      </w:r>
      <w:r w:rsidR="00920DC7">
        <w:t xml:space="preserve"> in symbols with CRS</w:t>
      </w:r>
      <w:r>
        <w:t>.</w:t>
      </w:r>
      <w:bookmarkEnd w:id="41"/>
    </w:p>
    <w:p w14:paraId="7887726B" w14:textId="186D7D16" w:rsidR="007F7A77" w:rsidRPr="007E7343" w:rsidRDefault="007F7A77" w:rsidP="007F7A77">
      <w:pPr>
        <w:pStyle w:val="Proposal"/>
        <w:numPr>
          <w:ilvl w:val="0"/>
          <w:numId w:val="47"/>
        </w:numPr>
      </w:pPr>
      <w:bookmarkStart w:id="42" w:name="_Toc71635408"/>
      <w:r>
        <w:t xml:space="preserve">The data-to-pilot power ratios ρ_a, ρ_b, and ρ_c are </w:t>
      </w:r>
      <w:r w:rsidR="00920DC7">
        <w:t>each of them indicated using UE specific signalling</w:t>
      </w:r>
      <w:r>
        <w:t>.</w:t>
      </w:r>
      <w:bookmarkEnd w:id="42"/>
    </w:p>
    <w:p w14:paraId="6AFE6535" w14:textId="77777777" w:rsidR="00D83DCE" w:rsidRDefault="00D83DCE" w:rsidP="00D83DCE">
      <w:pPr>
        <w:pStyle w:val="Heading1"/>
      </w:pPr>
      <w:r>
        <w:t>3</w:t>
      </w:r>
      <w:r>
        <w:tab/>
        <w:t>Support for 16-QAM for unicast in UL</w:t>
      </w:r>
    </w:p>
    <w:p w14:paraId="32F53E0F" w14:textId="76FDF25D" w:rsidR="008E27EB" w:rsidRDefault="008E27EB" w:rsidP="008E27EB">
      <w:pPr>
        <w:pStyle w:val="Heading2"/>
      </w:pPr>
      <w:r>
        <w:t>3.1</w:t>
      </w:r>
      <w:r>
        <w:tab/>
        <w:t>DCI design for unicast in UL</w:t>
      </w:r>
    </w:p>
    <w:p w14:paraId="24D23EF6" w14:textId="64D5CBBC" w:rsidR="00D83DCE" w:rsidRPr="0000293C" w:rsidRDefault="00D83DCE" w:rsidP="00D83DCE">
      <w:pPr>
        <w:jc w:val="both"/>
      </w:pPr>
      <w:r w:rsidRPr="0000293C">
        <w:t>In RAN1 #10</w:t>
      </w:r>
      <w:r w:rsidR="0000293C">
        <w:t>4</w:t>
      </w:r>
      <w:r w:rsidRPr="0000293C">
        <w:t xml:space="preserve">-e, the following </w:t>
      </w:r>
      <w:r w:rsidR="0000293C">
        <w:t>agreements were reached</w:t>
      </w:r>
      <w:r w:rsidRPr="0000293C">
        <w:t xml:space="preserve"> to support 16-QAM in UL [</w:t>
      </w:r>
      <w:r w:rsidR="00CD33F2">
        <w:t>3</w:t>
      </w:r>
      <w:r w:rsidRPr="0000293C">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D83DCE" w:rsidRPr="003520F7" w14:paraId="5A55B5ED" w14:textId="77777777" w:rsidTr="73E20EA6">
        <w:tc>
          <w:tcPr>
            <w:tcW w:w="9629" w:type="dxa"/>
          </w:tcPr>
          <w:p w14:paraId="5ADFD6CC" w14:textId="77777777" w:rsidR="002A7BD4" w:rsidRPr="002A7BD4" w:rsidRDefault="002A7BD4" w:rsidP="002A7BD4">
            <w:pPr>
              <w:overflowPunct/>
              <w:autoSpaceDE/>
              <w:autoSpaceDN/>
              <w:adjustRightInd/>
              <w:spacing w:after="0"/>
              <w:textAlignment w:val="auto"/>
              <w:rPr>
                <w:rFonts w:ascii="Times" w:eastAsia="Batang" w:hAnsi="Times"/>
                <w:b/>
                <w:bCs/>
                <w:sz w:val="18"/>
                <w:szCs w:val="18"/>
                <w:highlight w:val="green"/>
                <w:lang w:eastAsia="x-none"/>
              </w:rPr>
            </w:pPr>
            <w:r w:rsidRPr="002A7BD4">
              <w:rPr>
                <w:rFonts w:ascii="Times" w:eastAsia="Batang" w:hAnsi="Times"/>
                <w:b/>
                <w:bCs/>
                <w:sz w:val="18"/>
                <w:szCs w:val="18"/>
                <w:highlight w:val="green"/>
                <w:lang w:eastAsia="x-none"/>
              </w:rPr>
              <w:t>Agreement</w:t>
            </w:r>
          </w:p>
          <w:p w14:paraId="584028D3" w14:textId="77777777" w:rsidR="002A7BD4" w:rsidRPr="002A7BD4" w:rsidRDefault="002A7BD4" w:rsidP="002A7BD4">
            <w:pPr>
              <w:overflowPunct/>
              <w:autoSpaceDE/>
              <w:autoSpaceDN/>
              <w:adjustRightInd/>
              <w:spacing w:after="0"/>
              <w:textAlignment w:val="auto"/>
              <w:rPr>
                <w:rFonts w:ascii="Times" w:eastAsia="Batang" w:hAnsi="Times"/>
                <w:sz w:val="18"/>
                <w:szCs w:val="18"/>
                <w:lang w:eastAsia="x-none"/>
              </w:rPr>
            </w:pPr>
            <w:r w:rsidRPr="002A7BD4">
              <w:rPr>
                <w:rFonts w:ascii="Times" w:eastAsia="Batang" w:hAnsi="Times"/>
                <w:sz w:val="18"/>
                <w:szCs w:val="18"/>
                <w:lang w:eastAsia="x-none"/>
              </w:rPr>
              <w:t>Confirm the following working assumption:</w:t>
            </w:r>
          </w:p>
          <w:p w14:paraId="306B02E4" w14:textId="77777777" w:rsidR="002A7BD4" w:rsidRPr="002A7BD4" w:rsidRDefault="002A7BD4" w:rsidP="002A7BD4">
            <w:pPr>
              <w:numPr>
                <w:ilvl w:val="0"/>
                <w:numId w:val="26"/>
              </w:numPr>
              <w:overflowPunct/>
              <w:autoSpaceDE/>
              <w:autoSpaceDN/>
              <w:adjustRightInd/>
              <w:spacing w:after="0"/>
              <w:contextualSpacing/>
              <w:textAlignment w:val="auto"/>
              <w:rPr>
                <w:rFonts w:ascii="Times" w:eastAsia="Batang" w:hAnsi="Times" w:cs="Times"/>
                <w:sz w:val="18"/>
                <w:szCs w:val="18"/>
                <w:lang w:eastAsia="x-none"/>
              </w:rPr>
            </w:pPr>
            <w:r w:rsidRPr="002A7BD4">
              <w:rPr>
                <w:rFonts w:ascii="Times" w:eastAsia="Batang" w:hAnsi="Times" w:cs="Times"/>
                <w:sz w:val="18"/>
                <w:szCs w:val="18"/>
                <w:lang w:eastAsia="x-none"/>
              </w:rPr>
              <w:t>The following TBS indices are introduced for uplink</w:t>
            </w:r>
          </w:p>
          <w:tbl>
            <w:tblPr>
              <w:tblW w:w="4965" w:type="dxa"/>
              <w:jc w:val="center"/>
              <w:tblCellMar>
                <w:left w:w="0" w:type="dxa"/>
                <w:right w:w="0" w:type="dxa"/>
              </w:tblCellMar>
              <w:tblLook w:val="04A0" w:firstRow="1" w:lastRow="0" w:firstColumn="1" w:lastColumn="0" w:noHBand="0" w:noVBand="1"/>
            </w:tblPr>
            <w:tblGrid>
              <w:gridCol w:w="717"/>
              <w:gridCol w:w="486"/>
              <w:gridCol w:w="576"/>
              <w:gridCol w:w="576"/>
              <w:gridCol w:w="576"/>
              <w:gridCol w:w="576"/>
              <w:gridCol w:w="576"/>
              <w:gridCol w:w="576"/>
              <w:gridCol w:w="306"/>
            </w:tblGrid>
            <w:tr w:rsidR="002A7BD4" w:rsidRPr="002A7BD4" w14:paraId="1A0AB48D" w14:textId="77777777" w:rsidTr="000B6EE7">
              <w:trPr>
                <w:cantSplit/>
                <w:trHeight w:val="340"/>
                <w:jc w:val="center"/>
              </w:trPr>
              <w:tc>
                <w:tcPr>
                  <w:tcW w:w="717"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14:paraId="145AAF4F" w14:textId="77777777" w:rsidR="002A7BD4" w:rsidRPr="002A7BD4" w:rsidRDefault="002A7BD4" w:rsidP="002A7BD4">
                  <w:pPr>
                    <w:keepNext/>
                    <w:autoSpaceDE/>
                    <w:autoSpaceDN/>
                    <w:adjustRightInd/>
                    <w:spacing w:after="0"/>
                    <w:jc w:val="center"/>
                    <w:textAlignment w:val="auto"/>
                    <w:rPr>
                      <w:rFonts w:ascii="Times" w:eastAsia="Batang" w:hAnsi="Times" w:cs="Times"/>
                      <w:b/>
                      <w:bCs/>
                      <w:sz w:val="18"/>
                      <w:szCs w:val="18"/>
                      <w:lang w:eastAsia="en-US"/>
                    </w:rPr>
                  </w:pPr>
                  <w:r w:rsidRPr="002A7BD4">
                    <w:rPr>
                      <w:rFonts w:ascii="Times" w:eastAsia="Batang" w:hAnsi="Times" w:cs="Times"/>
                      <w:b/>
                      <w:bCs/>
                      <w:sz w:val="18"/>
                      <w:szCs w:val="18"/>
                      <w:lang w:eastAsia="ko-KR"/>
                    </w:rPr>
                    <w:t>I_TBS</w:t>
                  </w:r>
                </w:p>
              </w:tc>
              <w:tc>
                <w:tcPr>
                  <w:tcW w:w="4248" w:type="dxa"/>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604324D" w14:textId="77777777" w:rsidR="002A7BD4" w:rsidRPr="002A7BD4" w:rsidRDefault="002A7BD4" w:rsidP="002A7BD4">
                  <w:pPr>
                    <w:keepNext/>
                    <w:autoSpaceDE/>
                    <w:autoSpaceDN/>
                    <w:adjustRightInd/>
                    <w:spacing w:after="0"/>
                    <w:jc w:val="center"/>
                    <w:textAlignment w:val="auto"/>
                    <w:rPr>
                      <w:rFonts w:ascii="Times" w:eastAsia="Batang" w:hAnsi="Times" w:cs="Times"/>
                      <w:b/>
                      <w:bCs/>
                      <w:sz w:val="18"/>
                      <w:szCs w:val="18"/>
                      <w:lang w:eastAsia="en-US"/>
                    </w:rPr>
                  </w:pPr>
                  <w:r w:rsidRPr="002A7BD4">
                    <w:rPr>
                      <w:rFonts w:ascii="Times" w:eastAsia="Batang" w:hAnsi="Times" w:cs="Times"/>
                      <w:b/>
                      <w:bCs/>
                      <w:position w:val="-12"/>
                      <w:sz w:val="18"/>
                      <w:szCs w:val="18"/>
                      <w:lang w:eastAsia="en-US"/>
                    </w:rPr>
                    <w:t>I_RU</w:t>
                  </w:r>
                </w:p>
              </w:tc>
            </w:tr>
            <w:tr w:rsidR="002A7BD4" w:rsidRPr="002A7BD4" w14:paraId="1DC6A554" w14:textId="77777777" w:rsidTr="000B6EE7">
              <w:trPr>
                <w:cantSplit/>
                <w:jc w:val="center"/>
              </w:trPr>
              <w:tc>
                <w:tcPr>
                  <w:tcW w:w="717" w:type="dxa"/>
                  <w:vMerge/>
                  <w:vAlign w:val="center"/>
                </w:tcPr>
                <w:p w14:paraId="27BD5360" w14:textId="77777777" w:rsidR="002A7BD4" w:rsidRPr="002A7BD4" w:rsidRDefault="002A7BD4" w:rsidP="002A7BD4">
                  <w:pPr>
                    <w:overflowPunct/>
                    <w:autoSpaceDE/>
                    <w:autoSpaceDN/>
                    <w:adjustRightInd/>
                    <w:spacing w:after="0"/>
                    <w:textAlignment w:val="auto"/>
                    <w:rPr>
                      <w:rFonts w:ascii="Times" w:eastAsia="Batang" w:hAnsi="Times" w:cs="Times"/>
                      <w:b/>
                      <w:bCs/>
                      <w:sz w:val="18"/>
                      <w:szCs w:val="18"/>
                      <w:lang w:eastAsia="en-US"/>
                    </w:rPr>
                  </w:pPr>
                </w:p>
              </w:tc>
              <w:tc>
                <w:tcPr>
                  <w:tcW w:w="51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25344EA9" w14:textId="77777777" w:rsidR="002A7BD4" w:rsidRPr="002A7BD4" w:rsidRDefault="002A7BD4" w:rsidP="002A7BD4">
                  <w:pPr>
                    <w:keepNext/>
                    <w:autoSpaceDE/>
                    <w:autoSpaceDN/>
                    <w:adjustRightInd/>
                    <w:spacing w:after="0"/>
                    <w:jc w:val="center"/>
                    <w:textAlignment w:val="auto"/>
                    <w:rPr>
                      <w:rFonts w:ascii="Times" w:eastAsia="Batang" w:hAnsi="Times" w:cs="Times"/>
                      <w:b/>
                      <w:bCs/>
                      <w:sz w:val="18"/>
                      <w:szCs w:val="18"/>
                      <w:lang w:eastAsia="en-US"/>
                    </w:rPr>
                  </w:pPr>
                  <w:r w:rsidRPr="002A7BD4">
                    <w:rPr>
                      <w:rFonts w:ascii="Times" w:eastAsia="Batang" w:hAnsi="Times" w:cs="Times"/>
                      <w:b/>
                      <w:bCs/>
                      <w:sz w:val="18"/>
                      <w:szCs w:val="18"/>
                      <w:lang w:eastAsia="en-US"/>
                    </w:rPr>
                    <w:t>0</w:t>
                  </w:r>
                </w:p>
              </w:tc>
              <w:tc>
                <w:tcPr>
                  <w:tcW w:w="552"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62BA797E" w14:textId="77777777" w:rsidR="002A7BD4" w:rsidRPr="002A7BD4" w:rsidRDefault="002A7BD4" w:rsidP="002A7BD4">
                  <w:pPr>
                    <w:keepNext/>
                    <w:autoSpaceDE/>
                    <w:autoSpaceDN/>
                    <w:adjustRightInd/>
                    <w:spacing w:after="0"/>
                    <w:jc w:val="center"/>
                    <w:textAlignment w:val="auto"/>
                    <w:rPr>
                      <w:rFonts w:ascii="Times" w:eastAsia="Batang" w:hAnsi="Times" w:cs="Times"/>
                      <w:b/>
                      <w:bCs/>
                      <w:sz w:val="18"/>
                      <w:szCs w:val="18"/>
                      <w:lang w:eastAsia="en-US"/>
                    </w:rPr>
                  </w:pPr>
                  <w:r w:rsidRPr="002A7BD4">
                    <w:rPr>
                      <w:rFonts w:ascii="Times" w:eastAsia="Batang" w:hAnsi="Times" w:cs="Times"/>
                      <w:b/>
                      <w:bCs/>
                      <w:sz w:val="18"/>
                      <w:szCs w:val="18"/>
                      <w:lang w:eastAsia="en-US"/>
                    </w:rPr>
                    <w:t>1</w:t>
                  </w:r>
                </w:p>
              </w:tc>
              <w:tc>
                <w:tcPr>
                  <w:tcW w:w="576"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26D3B748" w14:textId="77777777" w:rsidR="002A7BD4" w:rsidRPr="002A7BD4" w:rsidRDefault="002A7BD4" w:rsidP="002A7BD4">
                  <w:pPr>
                    <w:keepNext/>
                    <w:autoSpaceDE/>
                    <w:autoSpaceDN/>
                    <w:adjustRightInd/>
                    <w:spacing w:after="0"/>
                    <w:jc w:val="center"/>
                    <w:textAlignment w:val="auto"/>
                    <w:rPr>
                      <w:rFonts w:ascii="Times" w:eastAsia="Batang" w:hAnsi="Times" w:cs="Times"/>
                      <w:b/>
                      <w:bCs/>
                      <w:sz w:val="18"/>
                      <w:szCs w:val="18"/>
                      <w:lang w:eastAsia="en-US"/>
                    </w:rPr>
                  </w:pPr>
                  <w:r w:rsidRPr="002A7BD4">
                    <w:rPr>
                      <w:rFonts w:ascii="Times" w:eastAsia="Batang" w:hAnsi="Times" w:cs="Times"/>
                      <w:b/>
                      <w:bCs/>
                      <w:sz w:val="18"/>
                      <w:szCs w:val="18"/>
                      <w:lang w:eastAsia="en-US"/>
                    </w:rPr>
                    <w:t>2</w:t>
                  </w:r>
                </w:p>
              </w:tc>
              <w:tc>
                <w:tcPr>
                  <w:tcW w:w="576"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232B1D33" w14:textId="77777777" w:rsidR="002A7BD4" w:rsidRPr="002A7BD4" w:rsidRDefault="002A7BD4" w:rsidP="002A7BD4">
                  <w:pPr>
                    <w:keepNext/>
                    <w:autoSpaceDE/>
                    <w:autoSpaceDN/>
                    <w:adjustRightInd/>
                    <w:spacing w:after="0"/>
                    <w:jc w:val="center"/>
                    <w:textAlignment w:val="auto"/>
                    <w:rPr>
                      <w:rFonts w:ascii="Times" w:eastAsia="Batang" w:hAnsi="Times" w:cs="Times"/>
                      <w:b/>
                      <w:bCs/>
                      <w:sz w:val="18"/>
                      <w:szCs w:val="18"/>
                      <w:lang w:eastAsia="en-US"/>
                    </w:rPr>
                  </w:pPr>
                  <w:r w:rsidRPr="002A7BD4">
                    <w:rPr>
                      <w:rFonts w:ascii="Times" w:eastAsia="Batang" w:hAnsi="Times" w:cs="Times"/>
                      <w:b/>
                      <w:bCs/>
                      <w:sz w:val="18"/>
                      <w:szCs w:val="18"/>
                      <w:lang w:eastAsia="en-US"/>
                    </w:rPr>
                    <w:t>3</w:t>
                  </w:r>
                </w:p>
              </w:tc>
              <w:tc>
                <w:tcPr>
                  <w:tcW w:w="576"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480BF16A" w14:textId="77777777" w:rsidR="002A7BD4" w:rsidRPr="002A7BD4" w:rsidRDefault="002A7BD4" w:rsidP="002A7BD4">
                  <w:pPr>
                    <w:keepNext/>
                    <w:autoSpaceDE/>
                    <w:autoSpaceDN/>
                    <w:adjustRightInd/>
                    <w:spacing w:after="0"/>
                    <w:jc w:val="center"/>
                    <w:textAlignment w:val="auto"/>
                    <w:rPr>
                      <w:rFonts w:ascii="Times" w:eastAsia="Batang" w:hAnsi="Times" w:cs="Times"/>
                      <w:b/>
                      <w:bCs/>
                      <w:sz w:val="18"/>
                      <w:szCs w:val="18"/>
                      <w:lang w:eastAsia="en-US"/>
                    </w:rPr>
                  </w:pPr>
                  <w:r w:rsidRPr="002A7BD4">
                    <w:rPr>
                      <w:rFonts w:ascii="Times" w:eastAsia="Batang" w:hAnsi="Times" w:cs="Times"/>
                      <w:b/>
                      <w:bCs/>
                      <w:sz w:val="18"/>
                      <w:szCs w:val="18"/>
                      <w:lang w:eastAsia="en-US"/>
                    </w:rPr>
                    <w:t>4</w:t>
                  </w:r>
                </w:p>
              </w:tc>
              <w:tc>
                <w:tcPr>
                  <w:tcW w:w="576"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0D3938B7" w14:textId="77777777" w:rsidR="002A7BD4" w:rsidRPr="002A7BD4" w:rsidRDefault="002A7BD4" w:rsidP="002A7BD4">
                  <w:pPr>
                    <w:keepNext/>
                    <w:autoSpaceDE/>
                    <w:autoSpaceDN/>
                    <w:adjustRightInd/>
                    <w:spacing w:after="0"/>
                    <w:jc w:val="center"/>
                    <w:textAlignment w:val="auto"/>
                    <w:rPr>
                      <w:rFonts w:ascii="Times" w:eastAsia="Batang" w:hAnsi="Times" w:cs="Times"/>
                      <w:b/>
                      <w:bCs/>
                      <w:sz w:val="18"/>
                      <w:szCs w:val="18"/>
                      <w:lang w:eastAsia="en-US"/>
                    </w:rPr>
                  </w:pPr>
                  <w:r w:rsidRPr="002A7BD4">
                    <w:rPr>
                      <w:rFonts w:ascii="Times" w:eastAsia="Batang" w:hAnsi="Times" w:cs="Times"/>
                      <w:b/>
                      <w:bCs/>
                      <w:sz w:val="18"/>
                      <w:szCs w:val="18"/>
                      <w:lang w:eastAsia="en-US"/>
                    </w:rPr>
                    <w:t>5</w:t>
                  </w:r>
                </w:p>
              </w:tc>
              <w:tc>
                <w:tcPr>
                  <w:tcW w:w="576"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674189B6" w14:textId="77777777" w:rsidR="002A7BD4" w:rsidRPr="002A7BD4" w:rsidRDefault="002A7BD4" w:rsidP="002A7BD4">
                  <w:pPr>
                    <w:keepNext/>
                    <w:autoSpaceDE/>
                    <w:autoSpaceDN/>
                    <w:adjustRightInd/>
                    <w:spacing w:after="0"/>
                    <w:jc w:val="center"/>
                    <w:textAlignment w:val="auto"/>
                    <w:rPr>
                      <w:rFonts w:ascii="Times" w:eastAsia="Batang" w:hAnsi="Times" w:cs="Times"/>
                      <w:b/>
                      <w:bCs/>
                      <w:sz w:val="18"/>
                      <w:szCs w:val="18"/>
                      <w:lang w:eastAsia="en-US"/>
                    </w:rPr>
                  </w:pPr>
                  <w:r w:rsidRPr="002A7BD4">
                    <w:rPr>
                      <w:rFonts w:ascii="Times" w:eastAsia="Batang" w:hAnsi="Times" w:cs="Times"/>
                      <w:b/>
                      <w:bCs/>
                      <w:sz w:val="18"/>
                      <w:szCs w:val="18"/>
                      <w:lang w:eastAsia="en-US"/>
                    </w:rPr>
                    <w:t>6</w:t>
                  </w:r>
                </w:p>
              </w:tc>
              <w:tc>
                <w:tcPr>
                  <w:tcW w:w="306"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584D0506" w14:textId="77777777" w:rsidR="002A7BD4" w:rsidRPr="002A7BD4" w:rsidRDefault="002A7BD4" w:rsidP="002A7BD4">
                  <w:pPr>
                    <w:keepNext/>
                    <w:autoSpaceDE/>
                    <w:autoSpaceDN/>
                    <w:adjustRightInd/>
                    <w:spacing w:after="0"/>
                    <w:jc w:val="center"/>
                    <w:textAlignment w:val="auto"/>
                    <w:rPr>
                      <w:rFonts w:ascii="Times" w:eastAsia="Batang" w:hAnsi="Times" w:cs="Times"/>
                      <w:b/>
                      <w:bCs/>
                      <w:sz w:val="18"/>
                      <w:szCs w:val="18"/>
                      <w:lang w:eastAsia="en-US"/>
                    </w:rPr>
                  </w:pPr>
                  <w:r w:rsidRPr="002A7BD4">
                    <w:rPr>
                      <w:rFonts w:ascii="Times" w:eastAsia="Batang" w:hAnsi="Times" w:cs="Times"/>
                      <w:b/>
                      <w:bCs/>
                      <w:sz w:val="18"/>
                      <w:szCs w:val="18"/>
                      <w:lang w:eastAsia="en-US"/>
                    </w:rPr>
                    <w:t>7</w:t>
                  </w:r>
                </w:p>
              </w:tc>
            </w:tr>
            <w:tr w:rsidR="002A7BD4" w:rsidRPr="002A7BD4" w14:paraId="42B09512" w14:textId="77777777" w:rsidTr="000B6EE7">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68C13B70"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US"/>
                    </w:rPr>
                    <w:t>14</w:t>
                  </w:r>
                </w:p>
              </w:tc>
              <w:tc>
                <w:tcPr>
                  <w:tcW w:w="510" w:type="dxa"/>
                  <w:tcBorders>
                    <w:top w:val="nil"/>
                    <w:left w:val="nil"/>
                    <w:bottom w:val="single" w:sz="8" w:space="0" w:color="auto"/>
                    <w:right w:val="single" w:sz="8" w:space="0" w:color="auto"/>
                  </w:tcBorders>
                  <w:tcMar>
                    <w:top w:w="0" w:type="dxa"/>
                    <w:left w:w="108" w:type="dxa"/>
                    <w:bottom w:w="0" w:type="dxa"/>
                    <w:right w:w="108" w:type="dxa"/>
                  </w:tcMar>
                </w:tcPr>
                <w:p w14:paraId="5812332B"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256</w:t>
                  </w:r>
                </w:p>
              </w:tc>
              <w:tc>
                <w:tcPr>
                  <w:tcW w:w="552" w:type="dxa"/>
                  <w:tcBorders>
                    <w:top w:val="nil"/>
                    <w:left w:val="nil"/>
                    <w:bottom w:val="single" w:sz="8" w:space="0" w:color="auto"/>
                    <w:right w:val="single" w:sz="8" w:space="0" w:color="auto"/>
                  </w:tcBorders>
                  <w:tcMar>
                    <w:top w:w="0" w:type="dxa"/>
                    <w:left w:w="108" w:type="dxa"/>
                    <w:bottom w:w="0" w:type="dxa"/>
                    <w:right w:w="108" w:type="dxa"/>
                  </w:tcMar>
                </w:tcPr>
                <w:p w14:paraId="4D41DFA6"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552</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732DB3C6"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840</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3B56B648"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GB"/>
                    </w:rPr>
                  </w:pPr>
                  <w:r w:rsidRPr="002A7BD4">
                    <w:rPr>
                      <w:rFonts w:ascii="Times" w:eastAsia="Batang" w:hAnsi="Times" w:cs="Times"/>
                      <w:sz w:val="18"/>
                      <w:szCs w:val="18"/>
                      <w:lang w:eastAsia="en-GB"/>
                    </w:rPr>
                    <w:t>1128</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089BABAC"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ko-KR"/>
                    </w:rPr>
                  </w:pPr>
                  <w:r w:rsidRPr="002A7BD4">
                    <w:rPr>
                      <w:rFonts w:ascii="Times" w:eastAsia="Batang" w:hAnsi="Times" w:cs="Times"/>
                      <w:sz w:val="18"/>
                      <w:szCs w:val="18"/>
                      <w:lang w:eastAsia="en-GB"/>
                    </w:rPr>
                    <w:t>1416</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57158BD9"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1736</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70A2DDAB"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2280</w:t>
                  </w:r>
                </w:p>
              </w:tc>
              <w:tc>
                <w:tcPr>
                  <w:tcW w:w="306" w:type="dxa"/>
                  <w:tcBorders>
                    <w:top w:val="nil"/>
                    <w:left w:val="nil"/>
                    <w:bottom w:val="single" w:sz="8" w:space="0" w:color="auto"/>
                    <w:right w:val="single" w:sz="8" w:space="0" w:color="auto"/>
                  </w:tcBorders>
                  <w:tcMar>
                    <w:top w:w="0" w:type="dxa"/>
                    <w:left w:w="108" w:type="dxa"/>
                    <w:bottom w:w="0" w:type="dxa"/>
                    <w:right w:w="108" w:type="dxa"/>
                  </w:tcMar>
                </w:tcPr>
                <w:p w14:paraId="331EE128"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p>
              </w:tc>
            </w:tr>
            <w:tr w:rsidR="002A7BD4" w:rsidRPr="002A7BD4" w14:paraId="517457C7" w14:textId="77777777" w:rsidTr="000B6EE7">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B53AFB4"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US"/>
                    </w:rPr>
                    <w:t>15</w:t>
                  </w:r>
                </w:p>
              </w:tc>
              <w:tc>
                <w:tcPr>
                  <w:tcW w:w="510" w:type="dxa"/>
                  <w:tcBorders>
                    <w:top w:val="nil"/>
                    <w:left w:val="nil"/>
                    <w:bottom w:val="single" w:sz="8" w:space="0" w:color="auto"/>
                    <w:right w:val="single" w:sz="8" w:space="0" w:color="auto"/>
                  </w:tcBorders>
                  <w:tcMar>
                    <w:top w:w="0" w:type="dxa"/>
                    <w:left w:w="108" w:type="dxa"/>
                    <w:bottom w:w="0" w:type="dxa"/>
                    <w:right w:w="108" w:type="dxa"/>
                  </w:tcMar>
                </w:tcPr>
                <w:p w14:paraId="24884FE7"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280</w:t>
                  </w:r>
                </w:p>
              </w:tc>
              <w:tc>
                <w:tcPr>
                  <w:tcW w:w="552" w:type="dxa"/>
                  <w:tcBorders>
                    <w:top w:val="nil"/>
                    <w:left w:val="nil"/>
                    <w:bottom w:val="single" w:sz="8" w:space="0" w:color="auto"/>
                    <w:right w:val="single" w:sz="8" w:space="0" w:color="auto"/>
                  </w:tcBorders>
                  <w:tcMar>
                    <w:top w:w="0" w:type="dxa"/>
                    <w:left w:w="108" w:type="dxa"/>
                    <w:bottom w:w="0" w:type="dxa"/>
                    <w:right w:w="108" w:type="dxa"/>
                  </w:tcMar>
                </w:tcPr>
                <w:p w14:paraId="1C6E1DA6"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600</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47741CC8"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904</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4C80F654"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GB"/>
                    </w:rPr>
                  </w:pPr>
                  <w:r w:rsidRPr="002A7BD4">
                    <w:rPr>
                      <w:rFonts w:ascii="Times" w:eastAsia="Batang" w:hAnsi="Times" w:cs="Times"/>
                      <w:sz w:val="18"/>
                      <w:szCs w:val="18"/>
                      <w:lang w:eastAsia="en-GB"/>
                    </w:rPr>
                    <w:t>1224</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0A76CDE9"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ko-KR"/>
                    </w:rPr>
                  </w:pPr>
                  <w:r w:rsidRPr="002A7BD4">
                    <w:rPr>
                      <w:rFonts w:ascii="Times" w:eastAsia="Batang" w:hAnsi="Times" w:cs="Times"/>
                      <w:sz w:val="18"/>
                      <w:szCs w:val="18"/>
                      <w:lang w:eastAsia="en-GB"/>
                    </w:rPr>
                    <w:t>1544</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0AC60B83"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GB"/>
                    </w:rPr>
                  </w:pPr>
                  <w:r w:rsidRPr="002A7BD4">
                    <w:rPr>
                      <w:rFonts w:ascii="Times" w:eastAsia="Batang" w:hAnsi="Times" w:cs="Times"/>
                      <w:sz w:val="18"/>
                      <w:szCs w:val="18"/>
                      <w:lang w:eastAsia="en-GB"/>
                    </w:rPr>
                    <w:t>1800</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6AB445FA"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ko-KR"/>
                    </w:rPr>
                  </w:pPr>
                  <w:r w:rsidRPr="002A7BD4">
                    <w:rPr>
                      <w:rFonts w:ascii="Times" w:eastAsia="Batang" w:hAnsi="Times" w:cs="Times"/>
                      <w:sz w:val="18"/>
                      <w:szCs w:val="18"/>
                      <w:lang w:eastAsia="en-GB"/>
                    </w:rPr>
                    <w:t>2472</w:t>
                  </w:r>
                </w:p>
              </w:tc>
              <w:tc>
                <w:tcPr>
                  <w:tcW w:w="306" w:type="dxa"/>
                  <w:tcBorders>
                    <w:top w:val="nil"/>
                    <w:left w:val="nil"/>
                    <w:bottom w:val="single" w:sz="8" w:space="0" w:color="auto"/>
                    <w:right w:val="single" w:sz="8" w:space="0" w:color="auto"/>
                  </w:tcBorders>
                  <w:tcMar>
                    <w:top w:w="0" w:type="dxa"/>
                    <w:left w:w="108" w:type="dxa"/>
                    <w:bottom w:w="0" w:type="dxa"/>
                    <w:right w:w="108" w:type="dxa"/>
                  </w:tcMar>
                </w:tcPr>
                <w:p w14:paraId="20ED7A2A"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p>
              </w:tc>
            </w:tr>
            <w:tr w:rsidR="002A7BD4" w:rsidRPr="002A7BD4" w14:paraId="3828EEB0" w14:textId="77777777" w:rsidTr="000B6EE7">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775841CF"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US"/>
                    </w:rPr>
                    <w:t>16</w:t>
                  </w:r>
                </w:p>
              </w:tc>
              <w:tc>
                <w:tcPr>
                  <w:tcW w:w="510" w:type="dxa"/>
                  <w:tcBorders>
                    <w:top w:val="nil"/>
                    <w:left w:val="nil"/>
                    <w:bottom w:val="single" w:sz="8" w:space="0" w:color="auto"/>
                    <w:right w:val="single" w:sz="8" w:space="0" w:color="auto"/>
                  </w:tcBorders>
                  <w:tcMar>
                    <w:top w:w="0" w:type="dxa"/>
                    <w:left w:w="108" w:type="dxa"/>
                    <w:bottom w:w="0" w:type="dxa"/>
                    <w:right w:w="108" w:type="dxa"/>
                  </w:tcMar>
                </w:tcPr>
                <w:p w14:paraId="0FE19E35"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328</w:t>
                  </w:r>
                </w:p>
              </w:tc>
              <w:tc>
                <w:tcPr>
                  <w:tcW w:w="552" w:type="dxa"/>
                  <w:tcBorders>
                    <w:top w:val="nil"/>
                    <w:left w:val="nil"/>
                    <w:bottom w:val="single" w:sz="8" w:space="0" w:color="auto"/>
                    <w:right w:val="single" w:sz="8" w:space="0" w:color="auto"/>
                  </w:tcBorders>
                  <w:tcMar>
                    <w:top w:w="0" w:type="dxa"/>
                    <w:left w:w="108" w:type="dxa"/>
                    <w:bottom w:w="0" w:type="dxa"/>
                    <w:right w:w="108" w:type="dxa"/>
                  </w:tcMar>
                </w:tcPr>
                <w:p w14:paraId="5D7F2268"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632</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7157D0BC"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968</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50EFBE26"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GB"/>
                    </w:rPr>
                  </w:pPr>
                  <w:r w:rsidRPr="002A7BD4">
                    <w:rPr>
                      <w:rFonts w:ascii="Times" w:eastAsia="Batang" w:hAnsi="Times" w:cs="Times"/>
                      <w:sz w:val="18"/>
                      <w:szCs w:val="18"/>
                      <w:lang w:eastAsia="en-GB"/>
                    </w:rPr>
                    <w:t>1288</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185E8968"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ko-KR"/>
                    </w:rPr>
                  </w:pPr>
                  <w:r w:rsidRPr="002A7BD4">
                    <w:rPr>
                      <w:rFonts w:ascii="Times" w:eastAsia="Batang" w:hAnsi="Times" w:cs="Times"/>
                      <w:sz w:val="18"/>
                      <w:szCs w:val="18"/>
                      <w:lang w:eastAsia="en-GB"/>
                    </w:rPr>
                    <w:t>1608</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7DCA06D6"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GB"/>
                    </w:rPr>
                  </w:pPr>
                  <w:r w:rsidRPr="002A7BD4">
                    <w:rPr>
                      <w:rFonts w:ascii="Times" w:eastAsia="Batang" w:hAnsi="Times" w:cs="Times"/>
                      <w:sz w:val="18"/>
                      <w:szCs w:val="18"/>
                      <w:lang w:eastAsia="en-GB"/>
                    </w:rPr>
                    <w:t>1928</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4A753874"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GB"/>
                    </w:rPr>
                  </w:pPr>
                  <w:r w:rsidRPr="002A7BD4">
                    <w:rPr>
                      <w:rFonts w:ascii="Times" w:eastAsia="Batang" w:hAnsi="Times" w:cs="Times"/>
                      <w:sz w:val="18"/>
                      <w:szCs w:val="18"/>
                      <w:lang w:eastAsia="en-GB"/>
                    </w:rPr>
                    <w:t>2536</w:t>
                  </w:r>
                </w:p>
              </w:tc>
              <w:tc>
                <w:tcPr>
                  <w:tcW w:w="306" w:type="dxa"/>
                  <w:tcBorders>
                    <w:top w:val="nil"/>
                    <w:left w:val="nil"/>
                    <w:bottom w:val="single" w:sz="8" w:space="0" w:color="auto"/>
                    <w:right w:val="single" w:sz="8" w:space="0" w:color="auto"/>
                  </w:tcBorders>
                  <w:tcMar>
                    <w:top w:w="0" w:type="dxa"/>
                    <w:left w:w="108" w:type="dxa"/>
                    <w:bottom w:w="0" w:type="dxa"/>
                    <w:right w:w="108" w:type="dxa"/>
                  </w:tcMar>
                </w:tcPr>
                <w:p w14:paraId="0E038599"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ko-KR"/>
                    </w:rPr>
                  </w:pPr>
                </w:p>
              </w:tc>
            </w:tr>
            <w:tr w:rsidR="002A7BD4" w:rsidRPr="002A7BD4" w14:paraId="57B50215" w14:textId="77777777" w:rsidTr="000B6EE7">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1559A0F2"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US"/>
                    </w:rPr>
                    <w:t>17</w:t>
                  </w:r>
                </w:p>
              </w:tc>
              <w:tc>
                <w:tcPr>
                  <w:tcW w:w="510" w:type="dxa"/>
                  <w:tcBorders>
                    <w:top w:val="nil"/>
                    <w:left w:val="nil"/>
                    <w:bottom w:val="single" w:sz="8" w:space="0" w:color="auto"/>
                    <w:right w:val="single" w:sz="8" w:space="0" w:color="auto"/>
                  </w:tcBorders>
                  <w:tcMar>
                    <w:top w:w="0" w:type="dxa"/>
                    <w:left w:w="108" w:type="dxa"/>
                    <w:bottom w:w="0" w:type="dxa"/>
                    <w:right w:w="108" w:type="dxa"/>
                  </w:tcMar>
                </w:tcPr>
                <w:p w14:paraId="2A801093"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336</w:t>
                  </w:r>
                </w:p>
              </w:tc>
              <w:tc>
                <w:tcPr>
                  <w:tcW w:w="552" w:type="dxa"/>
                  <w:tcBorders>
                    <w:top w:val="nil"/>
                    <w:left w:val="nil"/>
                    <w:bottom w:val="single" w:sz="8" w:space="0" w:color="auto"/>
                    <w:right w:val="single" w:sz="8" w:space="0" w:color="auto"/>
                  </w:tcBorders>
                  <w:tcMar>
                    <w:top w:w="0" w:type="dxa"/>
                    <w:left w:w="108" w:type="dxa"/>
                    <w:bottom w:w="0" w:type="dxa"/>
                    <w:right w:w="108" w:type="dxa"/>
                  </w:tcMar>
                </w:tcPr>
                <w:p w14:paraId="0E0894C6"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696</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7A401A56"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1064</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083F4E1B"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GB"/>
                    </w:rPr>
                  </w:pPr>
                  <w:r w:rsidRPr="002A7BD4">
                    <w:rPr>
                      <w:rFonts w:ascii="Times" w:eastAsia="Batang" w:hAnsi="Times" w:cs="Times"/>
                      <w:sz w:val="18"/>
                      <w:szCs w:val="18"/>
                      <w:lang w:eastAsia="en-GB"/>
                    </w:rPr>
                    <w:t>1416</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7FA414D5"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ko-KR"/>
                    </w:rPr>
                  </w:pPr>
                  <w:r w:rsidRPr="002A7BD4">
                    <w:rPr>
                      <w:rFonts w:ascii="Times" w:eastAsia="Batang" w:hAnsi="Times" w:cs="Times"/>
                      <w:sz w:val="18"/>
                      <w:szCs w:val="18"/>
                      <w:lang w:eastAsia="en-GB"/>
                    </w:rPr>
                    <w:t>1800</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54C023F7"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GB"/>
                    </w:rPr>
                  </w:pPr>
                  <w:r w:rsidRPr="002A7BD4">
                    <w:rPr>
                      <w:rFonts w:ascii="Times" w:eastAsia="Batang" w:hAnsi="Times" w:cs="Times"/>
                      <w:sz w:val="18"/>
                      <w:szCs w:val="18"/>
                      <w:lang w:eastAsia="en-GB"/>
                    </w:rPr>
                    <w:t>2152</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6A30ACD8"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ko-KR"/>
                    </w:rPr>
                  </w:pPr>
                </w:p>
              </w:tc>
              <w:tc>
                <w:tcPr>
                  <w:tcW w:w="306" w:type="dxa"/>
                  <w:tcBorders>
                    <w:top w:val="nil"/>
                    <w:left w:val="nil"/>
                    <w:bottom w:val="single" w:sz="8" w:space="0" w:color="auto"/>
                    <w:right w:val="single" w:sz="8" w:space="0" w:color="auto"/>
                  </w:tcBorders>
                  <w:tcMar>
                    <w:top w:w="0" w:type="dxa"/>
                    <w:left w:w="108" w:type="dxa"/>
                    <w:bottom w:w="0" w:type="dxa"/>
                    <w:right w:w="108" w:type="dxa"/>
                  </w:tcMar>
                </w:tcPr>
                <w:p w14:paraId="6863CCCF"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p>
              </w:tc>
            </w:tr>
            <w:tr w:rsidR="002A7BD4" w:rsidRPr="002A7BD4" w14:paraId="38F36E84" w14:textId="77777777" w:rsidTr="000B6EE7">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61DB426"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US"/>
                    </w:rPr>
                    <w:t>18</w:t>
                  </w:r>
                </w:p>
              </w:tc>
              <w:tc>
                <w:tcPr>
                  <w:tcW w:w="510" w:type="dxa"/>
                  <w:tcBorders>
                    <w:top w:val="nil"/>
                    <w:left w:val="nil"/>
                    <w:bottom w:val="single" w:sz="8" w:space="0" w:color="auto"/>
                    <w:right w:val="single" w:sz="8" w:space="0" w:color="auto"/>
                  </w:tcBorders>
                  <w:tcMar>
                    <w:top w:w="0" w:type="dxa"/>
                    <w:left w:w="108" w:type="dxa"/>
                    <w:bottom w:w="0" w:type="dxa"/>
                    <w:right w:w="108" w:type="dxa"/>
                  </w:tcMar>
                </w:tcPr>
                <w:p w14:paraId="4C94EB73"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376</w:t>
                  </w:r>
                </w:p>
              </w:tc>
              <w:tc>
                <w:tcPr>
                  <w:tcW w:w="552" w:type="dxa"/>
                  <w:tcBorders>
                    <w:top w:val="nil"/>
                    <w:left w:val="nil"/>
                    <w:bottom w:val="single" w:sz="8" w:space="0" w:color="auto"/>
                    <w:right w:val="single" w:sz="8" w:space="0" w:color="auto"/>
                  </w:tcBorders>
                  <w:tcMar>
                    <w:top w:w="0" w:type="dxa"/>
                    <w:left w:w="108" w:type="dxa"/>
                    <w:bottom w:w="0" w:type="dxa"/>
                    <w:right w:w="108" w:type="dxa"/>
                  </w:tcMar>
                </w:tcPr>
                <w:p w14:paraId="081965DC"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776</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51655C8C"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1160</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389C4678"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GB"/>
                    </w:rPr>
                  </w:pPr>
                  <w:r w:rsidRPr="002A7BD4">
                    <w:rPr>
                      <w:rFonts w:ascii="Times" w:eastAsia="Batang" w:hAnsi="Times" w:cs="Times"/>
                      <w:sz w:val="18"/>
                      <w:szCs w:val="18"/>
                      <w:lang w:eastAsia="en-GB"/>
                    </w:rPr>
                    <w:t>1544</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5E483ABD"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ko-KR"/>
                    </w:rPr>
                  </w:pPr>
                  <w:r w:rsidRPr="002A7BD4">
                    <w:rPr>
                      <w:rFonts w:ascii="Times" w:eastAsia="Batang" w:hAnsi="Times" w:cs="Times"/>
                      <w:sz w:val="18"/>
                      <w:szCs w:val="18"/>
                      <w:lang w:eastAsia="en-GB"/>
                    </w:rPr>
                    <w:t>1992</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14025A00"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GB"/>
                    </w:rPr>
                  </w:pPr>
                  <w:r w:rsidRPr="002A7BD4">
                    <w:rPr>
                      <w:rFonts w:ascii="Times" w:eastAsia="Batang" w:hAnsi="Times" w:cs="Times"/>
                      <w:sz w:val="18"/>
                      <w:szCs w:val="18"/>
                      <w:lang w:eastAsia="en-GB"/>
                    </w:rPr>
                    <w:t>2344</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394376B6"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ko-KR"/>
                    </w:rPr>
                  </w:pPr>
                </w:p>
              </w:tc>
              <w:tc>
                <w:tcPr>
                  <w:tcW w:w="306" w:type="dxa"/>
                  <w:tcBorders>
                    <w:top w:val="nil"/>
                    <w:left w:val="nil"/>
                    <w:bottom w:val="single" w:sz="8" w:space="0" w:color="auto"/>
                    <w:right w:val="single" w:sz="8" w:space="0" w:color="auto"/>
                  </w:tcBorders>
                  <w:tcMar>
                    <w:top w:w="0" w:type="dxa"/>
                    <w:left w:w="108" w:type="dxa"/>
                    <w:bottom w:w="0" w:type="dxa"/>
                    <w:right w:w="108" w:type="dxa"/>
                  </w:tcMar>
                </w:tcPr>
                <w:p w14:paraId="6C2DED3F"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p>
              </w:tc>
            </w:tr>
            <w:tr w:rsidR="002A7BD4" w:rsidRPr="002A7BD4" w14:paraId="336DF755" w14:textId="77777777" w:rsidTr="000B6EE7">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6DE395B1"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US"/>
                    </w:rPr>
                    <w:t>19</w:t>
                  </w:r>
                </w:p>
              </w:tc>
              <w:tc>
                <w:tcPr>
                  <w:tcW w:w="510" w:type="dxa"/>
                  <w:tcBorders>
                    <w:top w:val="nil"/>
                    <w:left w:val="nil"/>
                    <w:bottom w:val="single" w:sz="8" w:space="0" w:color="auto"/>
                    <w:right w:val="single" w:sz="8" w:space="0" w:color="auto"/>
                  </w:tcBorders>
                  <w:tcMar>
                    <w:top w:w="0" w:type="dxa"/>
                    <w:left w:w="108" w:type="dxa"/>
                    <w:bottom w:w="0" w:type="dxa"/>
                    <w:right w:w="108" w:type="dxa"/>
                  </w:tcMar>
                </w:tcPr>
                <w:p w14:paraId="4EF29C0A"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408</w:t>
                  </w:r>
                </w:p>
              </w:tc>
              <w:tc>
                <w:tcPr>
                  <w:tcW w:w="552" w:type="dxa"/>
                  <w:tcBorders>
                    <w:top w:val="nil"/>
                    <w:left w:val="nil"/>
                    <w:bottom w:val="single" w:sz="8" w:space="0" w:color="auto"/>
                    <w:right w:val="single" w:sz="8" w:space="0" w:color="auto"/>
                  </w:tcBorders>
                  <w:tcMar>
                    <w:top w:w="0" w:type="dxa"/>
                    <w:left w:w="108" w:type="dxa"/>
                    <w:bottom w:w="0" w:type="dxa"/>
                    <w:right w:w="108" w:type="dxa"/>
                  </w:tcMar>
                </w:tcPr>
                <w:p w14:paraId="4C590579"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840</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0E33C4A2"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1288</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730B2DE0"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GB"/>
                    </w:rPr>
                  </w:pPr>
                  <w:r w:rsidRPr="002A7BD4">
                    <w:rPr>
                      <w:rFonts w:ascii="Times" w:eastAsia="Batang" w:hAnsi="Times" w:cs="Times"/>
                      <w:sz w:val="18"/>
                      <w:szCs w:val="18"/>
                      <w:lang w:eastAsia="en-GB"/>
                    </w:rPr>
                    <w:t>1736</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0EEBDEF7"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ko-KR"/>
                    </w:rPr>
                  </w:pPr>
                  <w:r w:rsidRPr="002A7BD4">
                    <w:rPr>
                      <w:rFonts w:ascii="Times" w:eastAsia="Batang" w:hAnsi="Times" w:cs="Times"/>
                      <w:sz w:val="18"/>
                      <w:szCs w:val="18"/>
                      <w:lang w:eastAsia="en-GB"/>
                    </w:rPr>
                    <w:t>2152</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09D5757D"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GB"/>
                    </w:rPr>
                  </w:pPr>
                  <w:r w:rsidRPr="002A7BD4">
                    <w:rPr>
                      <w:rFonts w:ascii="Times" w:eastAsia="Batang" w:hAnsi="Times" w:cs="Times"/>
                      <w:sz w:val="18"/>
                      <w:szCs w:val="18"/>
                      <w:lang w:eastAsia="en-GB"/>
                    </w:rPr>
                    <w:t>2536</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5D08E206"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ko-KR"/>
                    </w:rPr>
                  </w:pPr>
                </w:p>
              </w:tc>
              <w:tc>
                <w:tcPr>
                  <w:tcW w:w="306" w:type="dxa"/>
                  <w:tcBorders>
                    <w:top w:val="nil"/>
                    <w:left w:val="nil"/>
                    <w:bottom w:val="single" w:sz="8" w:space="0" w:color="auto"/>
                    <w:right w:val="single" w:sz="8" w:space="0" w:color="auto"/>
                  </w:tcBorders>
                  <w:tcMar>
                    <w:top w:w="0" w:type="dxa"/>
                    <w:left w:w="108" w:type="dxa"/>
                    <w:bottom w:w="0" w:type="dxa"/>
                    <w:right w:w="108" w:type="dxa"/>
                  </w:tcMar>
                </w:tcPr>
                <w:p w14:paraId="38D3E110"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p>
              </w:tc>
            </w:tr>
            <w:tr w:rsidR="002A7BD4" w:rsidRPr="002A7BD4" w14:paraId="607CC0E5" w14:textId="77777777" w:rsidTr="000B6EE7">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1CB64D86"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US"/>
                    </w:rPr>
                    <w:t>20</w:t>
                  </w:r>
                </w:p>
              </w:tc>
              <w:tc>
                <w:tcPr>
                  <w:tcW w:w="510" w:type="dxa"/>
                  <w:tcBorders>
                    <w:top w:val="nil"/>
                    <w:left w:val="nil"/>
                    <w:bottom w:val="single" w:sz="8" w:space="0" w:color="auto"/>
                    <w:right w:val="single" w:sz="8" w:space="0" w:color="auto"/>
                  </w:tcBorders>
                  <w:tcMar>
                    <w:top w:w="0" w:type="dxa"/>
                    <w:left w:w="108" w:type="dxa"/>
                    <w:bottom w:w="0" w:type="dxa"/>
                    <w:right w:w="108" w:type="dxa"/>
                  </w:tcMar>
                </w:tcPr>
                <w:p w14:paraId="18C8D8C3"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440</w:t>
                  </w:r>
                </w:p>
              </w:tc>
              <w:tc>
                <w:tcPr>
                  <w:tcW w:w="552" w:type="dxa"/>
                  <w:tcBorders>
                    <w:top w:val="nil"/>
                    <w:left w:val="nil"/>
                    <w:bottom w:val="single" w:sz="8" w:space="0" w:color="auto"/>
                    <w:right w:val="single" w:sz="8" w:space="0" w:color="auto"/>
                  </w:tcBorders>
                  <w:tcMar>
                    <w:top w:w="0" w:type="dxa"/>
                    <w:left w:w="108" w:type="dxa"/>
                    <w:bottom w:w="0" w:type="dxa"/>
                    <w:right w:w="108" w:type="dxa"/>
                  </w:tcMar>
                </w:tcPr>
                <w:p w14:paraId="6C306477"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904</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178B08D7"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1384</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4BDEF141"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GB"/>
                    </w:rPr>
                  </w:pPr>
                  <w:r w:rsidRPr="002A7BD4">
                    <w:rPr>
                      <w:rFonts w:ascii="Times" w:eastAsia="Batang" w:hAnsi="Times" w:cs="Times"/>
                      <w:sz w:val="18"/>
                      <w:szCs w:val="18"/>
                      <w:lang w:eastAsia="en-GB"/>
                    </w:rPr>
                    <w:t>1864</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42DA1996"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ko-KR"/>
                    </w:rPr>
                  </w:pPr>
                  <w:r w:rsidRPr="002A7BD4">
                    <w:rPr>
                      <w:rFonts w:ascii="Times" w:eastAsia="Batang" w:hAnsi="Times" w:cs="Times"/>
                      <w:sz w:val="18"/>
                      <w:szCs w:val="18"/>
                      <w:lang w:eastAsia="en-GB"/>
                    </w:rPr>
                    <w:t>2344</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44147A91"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60AED5CE"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p>
              </w:tc>
              <w:tc>
                <w:tcPr>
                  <w:tcW w:w="306" w:type="dxa"/>
                  <w:tcBorders>
                    <w:top w:val="nil"/>
                    <w:left w:val="nil"/>
                    <w:bottom w:val="single" w:sz="8" w:space="0" w:color="auto"/>
                    <w:right w:val="single" w:sz="8" w:space="0" w:color="auto"/>
                  </w:tcBorders>
                  <w:tcMar>
                    <w:top w:w="0" w:type="dxa"/>
                    <w:left w:w="108" w:type="dxa"/>
                    <w:bottom w:w="0" w:type="dxa"/>
                    <w:right w:w="108" w:type="dxa"/>
                  </w:tcMar>
                </w:tcPr>
                <w:p w14:paraId="2E4D2477"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p>
              </w:tc>
            </w:tr>
            <w:tr w:rsidR="002A7BD4" w:rsidRPr="002A7BD4" w14:paraId="3445AB39" w14:textId="77777777" w:rsidTr="000B6EE7">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D00FEF6"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US"/>
                    </w:rPr>
                    <w:t>21</w:t>
                  </w:r>
                </w:p>
              </w:tc>
              <w:tc>
                <w:tcPr>
                  <w:tcW w:w="510" w:type="dxa"/>
                  <w:tcBorders>
                    <w:top w:val="nil"/>
                    <w:left w:val="nil"/>
                    <w:bottom w:val="single" w:sz="8" w:space="0" w:color="auto"/>
                    <w:right w:val="single" w:sz="8" w:space="0" w:color="auto"/>
                  </w:tcBorders>
                  <w:tcMar>
                    <w:top w:w="0" w:type="dxa"/>
                    <w:left w:w="108" w:type="dxa"/>
                    <w:bottom w:w="0" w:type="dxa"/>
                    <w:right w:w="108" w:type="dxa"/>
                  </w:tcMar>
                </w:tcPr>
                <w:p w14:paraId="1A42012E"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488</w:t>
                  </w:r>
                </w:p>
              </w:tc>
              <w:tc>
                <w:tcPr>
                  <w:tcW w:w="552" w:type="dxa"/>
                  <w:tcBorders>
                    <w:top w:val="nil"/>
                    <w:left w:val="nil"/>
                    <w:bottom w:val="single" w:sz="8" w:space="0" w:color="auto"/>
                    <w:right w:val="single" w:sz="8" w:space="0" w:color="auto"/>
                  </w:tcBorders>
                  <w:tcMar>
                    <w:top w:w="0" w:type="dxa"/>
                    <w:left w:w="108" w:type="dxa"/>
                    <w:bottom w:w="0" w:type="dxa"/>
                    <w:right w:w="108" w:type="dxa"/>
                  </w:tcMar>
                </w:tcPr>
                <w:p w14:paraId="71340512"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1000</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73B368B0"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1480</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44C43088"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GB"/>
                    </w:rPr>
                  </w:pPr>
                  <w:r w:rsidRPr="002A7BD4">
                    <w:rPr>
                      <w:rFonts w:ascii="Times" w:eastAsia="Batang" w:hAnsi="Times" w:cs="Times"/>
                      <w:sz w:val="18"/>
                      <w:szCs w:val="18"/>
                      <w:lang w:eastAsia="en-GB"/>
                    </w:rPr>
                    <w:t>1992</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3586B057"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ko-KR"/>
                    </w:rPr>
                  </w:pPr>
                  <w:r w:rsidRPr="002A7BD4">
                    <w:rPr>
                      <w:rFonts w:ascii="Times" w:eastAsia="Batang" w:hAnsi="Times" w:cs="Times"/>
                      <w:sz w:val="18"/>
                      <w:szCs w:val="18"/>
                      <w:lang w:eastAsia="en-GB"/>
                    </w:rPr>
                    <w:t>2536</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0B27D8C5"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12B3A4E8"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p>
              </w:tc>
              <w:tc>
                <w:tcPr>
                  <w:tcW w:w="306" w:type="dxa"/>
                  <w:tcBorders>
                    <w:top w:val="nil"/>
                    <w:left w:val="nil"/>
                    <w:bottom w:val="single" w:sz="8" w:space="0" w:color="auto"/>
                    <w:right w:val="single" w:sz="8" w:space="0" w:color="auto"/>
                  </w:tcBorders>
                  <w:tcMar>
                    <w:top w:w="0" w:type="dxa"/>
                    <w:left w:w="108" w:type="dxa"/>
                    <w:bottom w:w="0" w:type="dxa"/>
                    <w:right w:w="108" w:type="dxa"/>
                  </w:tcMar>
                </w:tcPr>
                <w:p w14:paraId="10CA199F"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p>
              </w:tc>
            </w:tr>
          </w:tbl>
          <w:p w14:paraId="6FC687F7" w14:textId="77777777" w:rsidR="002A7BD4" w:rsidRPr="002A7BD4" w:rsidRDefault="002A7BD4" w:rsidP="002A7BD4">
            <w:pPr>
              <w:overflowPunct/>
              <w:autoSpaceDE/>
              <w:autoSpaceDN/>
              <w:adjustRightInd/>
              <w:spacing w:after="0"/>
              <w:textAlignment w:val="auto"/>
              <w:rPr>
                <w:rFonts w:ascii="Times" w:eastAsia="Batang" w:hAnsi="Times" w:cs="Times"/>
                <w:b/>
                <w:sz w:val="18"/>
                <w:szCs w:val="18"/>
                <w:lang w:eastAsia="en-US"/>
              </w:rPr>
            </w:pPr>
          </w:p>
          <w:p w14:paraId="2676232A" w14:textId="77777777" w:rsidR="0034798F" w:rsidRPr="0034798F" w:rsidRDefault="0034798F" w:rsidP="0034798F">
            <w:pPr>
              <w:overflowPunct/>
              <w:autoSpaceDE/>
              <w:autoSpaceDN/>
              <w:adjustRightInd/>
              <w:spacing w:after="0"/>
              <w:textAlignment w:val="auto"/>
              <w:rPr>
                <w:rFonts w:eastAsia="Times New Roman"/>
                <w:sz w:val="20"/>
                <w:szCs w:val="20"/>
                <w:lang w:val="en-US" w:eastAsia="sv-SE"/>
              </w:rPr>
            </w:pPr>
            <w:r w:rsidRPr="0034798F">
              <w:rPr>
                <w:rFonts w:ascii="Times" w:eastAsia="Batang" w:hAnsi="Times" w:cs="Times"/>
                <w:b/>
                <w:bCs/>
                <w:color w:val="000000"/>
                <w:kern w:val="24"/>
                <w:sz w:val="18"/>
                <w:szCs w:val="18"/>
                <w:highlight w:val="green"/>
                <w:lang w:eastAsia="sv-SE"/>
              </w:rPr>
              <w:t>Agreement</w:t>
            </w:r>
          </w:p>
          <w:p w14:paraId="1D2FCA1E" w14:textId="77777777" w:rsidR="0034798F" w:rsidRPr="0034798F" w:rsidRDefault="0034798F" w:rsidP="0034798F">
            <w:pPr>
              <w:overflowPunct/>
              <w:autoSpaceDE/>
              <w:autoSpaceDN/>
              <w:adjustRightInd/>
              <w:spacing w:after="0"/>
              <w:textAlignment w:val="auto"/>
              <w:rPr>
                <w:rFonts w:eastAsia="Times New Roman"/>
                <w:sz w:val="20"/>
                <w:szCs w:val="20"/>
                <w:lang w:val="en-US" w:eastAsia="sv-SE"/>
              </w:rPr>
            </w:pPr>
            <w:r w:rsidRPr="0034798F">
              <w:rPr>
                <w:rFonts w:ascii="Times" w:eastAsia="Batang" w:hAnsi="Times" w:cs="Times"/>
                <w:color w:val="000000"/>
                <w:kern w:val="24"/>
                <w:sz w:val="18"/>
                <w:szCs w:val="18"/>
                <w:lang w:eastAsia="sv-SE"/>
              </w:rPr>
              <w:t>On the breaking point between QPSK and 16QAM for NPUSCH, t</w:t>
            </w:r>
            <w:r w:rsidRPr="0034798F">
              <w:rPr>
                <w:rFonts w:ascii="Times" w:eastAsia="Malgun Gothic" w:hAnsi="Times" w:cs="Times"/>
                <w:color w:val="000000"/>
                <w:kern w:val="24"/>
                <w:sz w:val="18"/>
                <w:szCs w:val="18"/>
                <w:lang w:eastAsia="sv-SE"/>
              </w:rPr>
              <w:t>he UL TBS entries only between 14 and 21 are used for 16QAM if 16QAM is configured.</w:t>
            </w:r>
          </w:p>
          <w:p w14:paraId="3FCA624F" w14:textId="77777777" w:rsidR="0034798F" w:rsidRPr="0034798F" w:rsidRDefault="0034798F" w:rsidP="002A7BD4">
            <w:pPr>
              <w:overflowPunct/>
              <w:autoSpaceDE/>
              <w:autoSpaceDN/>
              <w:adjustRightInd/>
              <w:spacing w:after="0"/>
              <w:textAlignment w:val="auto"/>
              <w:rPr>
                <w:rFonts w:ascii="Times" w:eastAsia="Batang" w:hAnsi="Times" w:cs="Times"/>
                <w:b/>
                <w:bCs/>
                <w:sz w:val="18"/>
                <w:szCs w:val="18"/>
                <w:highlight w:val="green"/>
                <w:lang w:val="en-US" w:eastAsia="zh-CN"/>
              </w:rPr>
            </w:pPr>
          </w:p>
          <w:p w14:paraId="7D3EC74D" w14:textId="36A3AA55" w:rsidR="002A7BD4" w:rsidRPr="002A7BD4" w:rsidRDefault="002A7BD4" w:rsidP="002A7BD4">
            <w:pPr>
              <w:overflowPunct/>
              <w:autoSpaceDE/>
              <w:autoSpaceDN/>
              <w:adjustRightInd/>
              <w:spacing w:after="0"/>
              <w:textAlignment w:val="auto"/>
              <w:rPr>
                <w:rFonts w:ascii="Times" w:eastAsia="Batang" w:hAnsi="Times" w:cs="Times"/>
                <w:b/>
                <w:bCs/>
                <w:sz w:val="18"/>
                <w:szCs w:val="18"/>
                <w:lang w:eastAsia="zh-CN"/>
              </w:rPr>
            </w:pPr>
            <w:r w:rsidRPr="002A7BD4">
              <w:rPr>
                <w:rFonts w:ascii="Times" w:eastAsia="Batang" w:hAnsi="Times" w:cs="Times"/>
                <w:b/>
                <w:bCs/>
                <w:sz w:val="18"/>
                <w:szCs w:val="18"/>
                <w:highlight w:val="green"/>
                <w:lang w:eastAsia="zh-CN"/>
              </w:rPr>
              <w:t>Agreement</w:t>
            </w:r>
          </w:p>
          <w:p w14:paraId="4BB455EA" w14:textId="77777777" w:rsidR="00D83DCE" w:rsidRPr="002A7BD4" w:rsidRDefault="002A7BD4" w:rsidP="002A7BD4">
            <w:pPr>
              <w:overflowPunct/>
              <w:autoSpaceDE/>
              <w:autoSpaceDN/>
              <w:adjustRightInd/>
              <w:spacing w:after="0"/>
              <w:textAlignment w:val="auto"/>
              <w:rPr>
                <w:rFonts w:ascii="Times" w:eastAsia="Batang" w:hAnsi="Times" w:cs="Times"/>
                <w:bCs/>
                <w:sz w:val="18"/>
                <w:szCs w:val="18"/>
                <w:lang w:val="en-GB" w:eastAsia="zh-CN"/>
              </w:rPr>
            </w:pPr>
            <w:r w:rsidRPr="002A7BD4">
              <w:rPr>
                <w:rFonts w:ascii="Times" w:eastAsia="Batang" w:hAnsi="Times" w:cs="Times"/>
                <w:bCs/>
                <w:sz w:val="18"/>
                <w:szCs w:val="18"/>
                <w:lang w:val="en-GB" w:eastAsia="zh-CN"/>
              </w:rPr>
              <w:t>Repetition is not used for 16-QAM in uplink.</w:t>
            </w:r>
          </w:p>
          <w:p w14:paraId="16447A08" w14:textId="77777777" w:rsidR="002A7BD4" w:rsidRPr="002A7BD4" w:rsidRDefault="002A7BD4" w:rsidP="002A7BD4">
            <w:pPr>
              <w:overflowPunct/>
              <w:autoSpaceDE/>
              <w:autoSpaceDN/>
              <w:adjustRightInd/>
              <w:spacing w:after="0"/>
              <w:textAlignment w:val="auto"/>
              <w:rPr>
                <w:rFonts w:ascii="Times" w:eastAsia="Batang" w:hAnsi="Times" w:cs="Times"/>
                <w:bCs/>
                <w:sz w:val="18"/>
                <w:szCs w:val="18"/>
                <w:lang w:eastAsia="zh-CN"/>
              </w:rPr>
            </w:pPr>
          </w:p>
          <w:p w14:paraId="19D438E7" w14:textId="77777777" w:rsidR="002A7BD4" w:rsidRPr="002A7BD4" w:rsidRDefault="002A7BD4" w:rsidP="002A7BD4">
            <w:pPr>
              <w:overflowPunct/>
              <w:autoSpaceDE/>
              <w:autoSpaceDN/>
              <w:adjustRightInd/>
              <w:spacing w:after="0"/>
              <w:textAlignment w:val="auto"/>
              <w:rPr>
                <w:rFonts w:ascii="Times" w:eastAsia="Batang" w:hAnsi="Times" w:cs="Times"/>
                <w:b/>
                <w:sz w:val="18"/>
                <w:szCs w:val="18"/>
                <w:highlight w:val="green"/>
                <w:lang w:eastAsia="en-US"/>
              </w:rPr>
            </w:pPr>
            <w:r w:rsidRPr="002A7BD4">
              <w:rPr>
                <w:rFonts w:ascii="Times" w:eastAsia="Batang" w:hAnsi="Times" w:cs="Times"/>
                <w:b/>
                <w:sz w:val="18"/>
                <w:szCs w:val="18"/>
                <w:highlight w:val="green"/>
                <w:lang w:eastAsia="en-US"/>
              </w:rPr>
              <w:t>Agreement</w:t>
            </w:r>
          </w:p>
          <w:p w14:paraId="7D97A4F8" w14:textId="77777777" w:rsidR="002A7BD4" w:rsidRPr="002A7BD4" w:rsidRDefault="002A7BD4" w:rsidP="002A7BD4">
            <w:pPr>
              <w:overflowPunct/>
              <w:autoSpaceDE/>
              <w:autoSpaceDN/>
              <w:adjustRightInd/>
              <w:spacing w:after="0"/>
              <w:textAlignment w:val="auto"/>
              <w:rPr>
                <w:rFonts w:ascii="Times" w:eastAsia="Batang" w:hAnsi="Times"/>
                <w:sz w:val="18"/>
                <w:szCs w:val="18"/>
                <w:lang w:eastAsia="x-none"/>
              </w:rPr>
            </w:pPr>
            <w:r w:rsidRPr="002A7BD4">
              <w:rPr>
                <w:rFonts w:ascii="Times" w:eastAsia="Batang" w:hAnsi="Times"/>
                <w:sz w:val="18"/>
                <w:szCs w:val="18"/>
                <w:lang w:eastAsia="x-none"/>
              </w:rPr>
              <w:t>16-QAM can be used for 3 and 6 subcarriers NPUSCH format 1</w:t>
            </w:r>
          </w:p>
          <w:p w14:paraId="48B17155" w14:textId="6050C939" w:rsidR="002A7BD4" w:rsidRPr="003520F7" w:rsidRDefault="002A7BD4" w:rsidP="002A7BD4">
            <w:pPr>
              <w:overflowPunct/>
              <w:autoSpaceDE/>
              <w:autoSpaceDN/>
              <w:adjustRightInd/>
              <w:spacing w:after="0"/>
              <w:textAlignment w:val="auto"/>
              <w:rPr>
                <w:highlight w:val="cyan"/>
              </w:rPr>
            </w:pPr>
          </w:p>
        </w:tc>
      </w:tr>
    </w:tbl>
    <w:p w14:paraId="0A07A2F8" w14:textId="77777777" w:rsidR="0000293C" w:rsidRDefault="0000293C" w:rsidP="0000293C">
      <w:pPr>
        <w:jc w:val="both"/>
      </w:pPr>
    </w:p>
    <w:p w14:paraId="22817265" w14:textId="51518D32" w:rsidR="0034798F" w:rsidRDefault="0034798F" w:rsidP="0034798F">
      <w:pPr>
        <w:jc w:val="both"/>
      </w:pPr>
      <w:r>
        <w:lastRenderedPageBreak/>
        <w:t xml:space="preserve">As we mentioned in section 2.1, a DCI design as per Option 3 can be applied to both UL and DL. Below we illustrate how Option </w:t>
      </w:r>
      <w:r w:rsidR="00203316">
        <w:t xml:space="preserve">3 </w:t>
      </w:r>
      <w:r>
        <w:t>can be used in UL:</w:t>
      </w:r>
    </w:p>
    <w:p w14:paraId="5B0E5B24" w14:textId="49E2FBEB" w:rsidR="0034798F" w:rsidRDefault="0034798F" w:rsidP="0034798F">
      <w:pPr>
        <w:jc w:val="both"/>
      </w:pPr>
      <w:r>
        <w:t>In UL, Option 3 aims at utilizing the following two fields in DCI Format N0:</w:t>
      </w:r>
    </w:p>
    <w:p w14:paraId="7E6490D8" w14:textId="7A0DD388" w:rsidR="0034798F" w:rsidRPr="0034798F" w:rsidRDefault="0034798F" w:rsidP="0034798F">
      <w:pPr>
        <w:pStyle w:val="ListParagraph"/>
        <w:numPr>
          <w:ilvl w:val="0"/>
          <w:numId w:val="40"/>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w:t>
      </w:r>
      <w:r w:rsidRPr="00267329">
        <w:rPr>
          <w:rFonts w:ascii="Times New Roman" w:eastAsia="SimSun" w:hAnsi="Times New Roman"/>
          <w:i/>
          <w:iCs/>
          <w:sz w:val="20"/>
          <w:szCs w:val="20"/>
          <w:lang w:val="en-GB" w:eastAsia="ja-JP"/>
        </w:rPr>
        <w:t>Modulation and coding scheme</w:t>
      </w:r>
      <w:r w:rsidRPr="00267329">
        <w:rPr>
          <w:rFonts w:ascii="Times New Roman" w:eastAsia="SimSun" w:hAnsi="Times New Roman"/>
          <w:sz w:val="20"/>
          <w:szCs w:val="20"/>
          <w:lang w:val="en-GB" w:eastAsia="ja-JP"/>
        </w:rPr>
        <w:t xml:space="preserve"> – </w:t>
      </w:r>
      <w:r w:rsidR="00203316" w:rsidRPr="00203316">
        <w:rPr>
          <w:rFonts w:ascii="Times New Roman" w:eastAsia="SimSun" w:hAnsi="Times New Roman"/>
          <w:sz w:val="20"/>
          <w:szCs w:val="20"/>
          <w:lang w:val="en-GB" w:eastAsia="ja-JP"/>
        </w:rPr>
        <w:t xml:space="preserve">4 bits as defined in clause 16.5.1.2 </w:t>
      </w:r>
      <w:r w:rsidRPr="00267329">
        <w:rPr>
          <w:rFonts w:ascii="Times New Roman" w:eastAsia="SimSun" w:hAnsi="Times New Roman"/>
          <w:sz w:val="20"/>
          <w:szCs w:val="20"/>
          <w:lang w:val="en-GB" w:eastAsia="ja-JP"/>
        </w:rPr>
        <w:t>of [3]</w:t>
      </w:r>
      <w:r>
        <w:rPr>
          <w:rFonts w:ascii="Times New Roman" w:eastAsia="SimSun" w:hAnsi="Times New Roman"/>
          <w:sz w:val="20"/>
          <w:szCs w:val="20"/>
          <w:lang w:val="en-GB" w:eastAsia="ja-JP"/>
        </w:rPr>
        <w:t>”: Since the state “1111” is used</w:t>
      </w:r>
      <w:r w:rsidRPr="00267329">
        <w:rPr>
          <w:rFonts w:ascii="Times New Roman" w:eastAsia="SimSun" w:hAnsi="Times New Roman"/>
          <w:sz w:val="20"/>
          <w:szCs w:val="20"/>
          <w:lang w:val="en-GB" w:eastAsia="ja-JP"/>
        </w:rPr>
        <w:t xml:space="preserve"> </w:t>
      </w:r>
      <w:r>
        <w:rPr>
          <w:rFonts w:ascii="Times New Roman" w:eastAsia="SimSun" w:hAnsi="Times New Roman"/>
          <w:sz w:val="20"/>
          <w:szCs w:val="20"/>
          <w:lang w:val="en-GB" w:eastAsia="ja-JP"/>
        </w:rPr>
        <w:t>for EDT and in RAN1# 104-bis-e it was agreed that “</w:t>
      </w:r>
      <w:r w:rsidRPr="0034798F">
        <w:rPr>
          <w:rFonts w:ascii="Times New Roman" w:eastAsia="SimSun" w:hAnsi="Times New Roman"/>
          <w:i/>
          <w:iCs/>
          <w:sz w:val="20"/>
          <w:szCs w:val="20"/>
          <w:lang w:val="en-GB" w:eastAsia="ja-JP"/>
        </w:rPr>
        <w:t>16-QAM is not applied to EDT</w:t>
      </w:r>
      <w:r>
        <w:rPr>
          <w:rFonts w:ascii="Times New Roman" w:eastAsia="SimSun" w:hAnsi="Times New Roman"/>
          <w:sz w:val="20"/>
          <w:szCs w:val="20"/>
          <w:lang w:val="en-GB" w:eastAsia="ja-JP"/>
        </w:rPr>
        <w:t>” [2]</w:t>
      </w:r>
      <w:r w:rsidRPr="00267329">
        <w:rPr>
          <w:rFonts w:ascii="Times New Roman" w:eastAsia="SimSun" w:hAnsi="Times New Roman"/>
          <w:sz w:val="20"/>
          <w:szCs w:val="20"/>
          <w:lang w:val="en-GB" w:eastAsia="ja-JP"/>
        </w:rPr>
        <w:t xml:space="preserve">, </w:t>
      </w:r>
      <w:r>
        <w:rPr>
          <w:rFonts w:ascii="Times New Roman" w:eastAsia="SimSun" w:hAnsi="Times New Roman"/>
          <w:sz w:val="20"/>
          <w:szCs w:val="20"/>
          <w:lang w:val="en-GB" w:eastAsia="ja-JP"/>
        </w:rPr>
        <w:t>then we can re-use the state “1111”</w:t>
      </w:r>
      <w:r w:rsidRPr="00267329">
        <w:rPr>
          <w:rFonts w:ascii="Times New Roman" w:eastAsia="SimSun" w:hAnsi="Times New Roman"/>
          <w:sz w:val="20"/>
          <w:szCs w:val="20"/>
          <w:lang w:val="en-GB" w:eastAsia="ja-JP"/>
        </w:rPr>
        <w:t xml:space="preserve"> </w:t>
      </w:r>
      <w:r>
        <w:rPr>
          <w:rFonts w:ascii="Times New Roman" w:eastAsia="SimSun" w:hAnsi="Times New Roman"/>
          <w:sz w:val="20"/>
          <w:szCs w:val="20"/>
          <w:lang w:val="en-GB" w:eastAsia="ja-JP"/>
        </w:rPr>
        <w:t>to</w:t>
      </w:r>
      <w:r w:rsidRPr="00267329">
        <w:rPr>
          <w:rFonts w:ascii="Times New Roman" w:eastAsia="SimSun" w:hAnsi="Times New Roman"/>
          <w:sz w:val="20"/>
          <w:szCs w:val="20"/>
          <w:lang w:val="en-GB" w:eastAsia="ja-JP"/>
        </w:rPr>
        <w:t xml:space="preserve"> indicat</w:t>
      </w:r>
      <w:r>
        <w:rPr>
          <w:rFonts w:ascii="Times New Roman" w:eastAsia="SimSun" w:hAnsi="Times New Roman"/>
          <w:sz w:val="20"/>
          <w:szCs w:val="20"/>
          <w:lang w:val="en-GB" w:eastAsia="ja-JP"/>
        </w:rPr>
        <w:t>e</w:t>
      </w:r>
      <w:r w:rsidRPr="00267329">
        <w:rPr>
          <w:rFonts w:ascii="Times New Roman" w:eastAsia="SimSun" w:hAnsi="Times New Roman"/>
          <w:sz w:val="20"/>
          <w:szCs w:val="20"/>
          <w:lang w:val="en-GB" w:eastAsia="ja-JP"/>
        </w:rPr>
        <w:t xml:space="preserve"> </w:t>
      </w:r>
      <w:r>
        <w:rPr>
          <w:rFonts w:ascii="Times New Roman" w:eastAsia="SimSun" w:hAnsi="Times New Roman"/>
          <w:sz w:val="20"/>
          <w:szCs w:val="20"/>
          <w:lang w:val="en-GB" w:eastAsia="ja-JP"/>
        </w:rPr>
        <w:t>the use of 16-QAM in UL.</w:t>
      </w:r>
      <w:r w:rsidR="001055B7" w:rsidRPr="001055B7">
        <w:rPr>
          <w:rFonts w:ascii="Times New Roman" w:eastAsia="SimSun" w:hAnsi="Times New Roman"/>
          <w:sz w:val="20"/>
          <w:szCs w:val="20"/>
          <w:lang w:val="en-GB" w:eastAsia="ja-JP"/>
        </w:rPr>
        <w:t xml:space="preserve"> Note:</w:t>
      </w:r>
      <w:r w:rsidR="001055B7">
        <w:rPr>
          <w:lang w:val="en-US"/>
        </w:rPr>
        <w:t xml:space="preserve"> </w:t>
      </w:r>
      <w:r w:rsidR="001055B7">
        <w:rPr>
          <w:rFonts w:ascii="Times New Roman" w:eastAsia="SimSun" w:hAnsi="Times New Roman"/>
          <w:sz w:val="20"/>
          <w:szCs w:val="20"/>
          <w:lang w:val="en-GB" w:eastAsia="ja-JP"/>
        </w:rPr>
        <w:t xml:space="preserve">the state “1110” </w:t>
      </w:r>
      <w:r w:rsidR="001055B7" w:rsidRPr="001055B7">
        <w:rPr>
          <w:rFonts w:ascii="Times New Roman" w:eastAsia="SimSun" w:hAnsi="Times New Roman"/>
          <w:sz w:val="20"/>
          <w:szCs w:val="20"/>
          <w:lang w:val="en-GB" w:eastAsia="ja-JP"/>
        </w:rPr>
        <w:t>is used for PUR, i</w:t>
      </w:r>
      <w:r w:rsidR="008E27EB">
        <w:rPr>
          <w:rFonts w:ascii="Times New Roman" w:eastAsia="SimSun" w:hAnsi="Times New Roman"/>
          <w:sz w:val="20"/>
          <w:szCs w:val="20"/>
          <w:lang w:val="en-GB" w:eastAsia="ja-JP"/>
        </w:rPr>
        <w:t xml:space="preserve">n case </w:t>
      </w:r>
      <w:r w:rsidR="001055B7" w:rsidRPr="001055B7">
        <w:rPr>
          <w:rFonts w:ascii="Times New Roman" w:eastAsia="SimSun" w:hAnsi="Times New Roman"/>
          <w:sz w:val="20"/>
          <w:szCs w:val="20"/>
          <w:lang w:val="en-GB" w:eastAsia="ja-JP"/>
        </w:rPr>
        <w:t xml:space="preserve">PUR </w:t>
      </w:r>
      <w:r w:rsidR="008E27EB">
        <w:rPr>
          <w:rFonts w:ascii="Times New Roman" w:eastAsia="SimSun" w:hAnsi="Times New Roman"/>
          <w:sz w:val="20"/>
          <w:szCs w:val="20"/>
          <w:lang w:val="en-GB" w:eastAsia="ja-JP"/>
        </w:rPr>
        <w:t>were</w:t>
      </w:r>
      <w:r w:rsidR="001055B7" w:rsidRPr="001055B7">
        <w:rPr>
          <w:rFonts w:ascii="Times New Roman" w:eastAsia="SimSun" w:hAnsi="Times New Roman"/>
          <w:sz w:val="20"/>
          <w:szCs w:val="20"/>
          <w:lang w:val="en-GB" w:eastAsia="ja-JP"/>
        </w:rPr>
        <w:t xml:space="preserve"> not support</w:t>
      </w:r>
      <w:r w:rsidR="008E27EB">
        <w:rPr>
          <w:rFonts w:ascii="Times New Roman" w:eastAsia="SimSun" w:hAnsi="Times New Roman"/>
          <w:sz w:val="20"/>
          <w:szCs w:val="20"/>
          <w:lang w:val="en-GB" w:eastAsia="ja-JP"/>
        </w:rPr>
        <w:t>ed for</w:t>
      </w:r>
      <w:r w:rsidR="001055B7" w:rsidRPr="001055B7">
        <w:rPr>
          <w:rFonts w:ascii="Times New Roman" w:eastAsia="SimSun" w:hAnsi="Times New Roman"/>
          <w:sz w:val="20"/>
          <w:szCs w:val="20"/>
          <w:lang w:val="en-GB" w:eastAsia="ja-JP"/>
        </w:rPr>
        <w:t xml:space="preserve"> 16QAM, then 1110 can also be used for indication of 16</w:t>
      </w:r>
      <w:r w:rsidR="00B40DAB">
        <w:rPr>
          <w:rFonts w:ascii="Times New Roman" w:eastAsia="SimSun" w:hAnsi="Times New Roman"/>
          <w:sz w:val="20"/>
          <w:szCs w:val="20"/>
          <w:lang w:val="en-GB" w:eastAsia="ja-JP"/>
        </w:rPr>
        <w:t>-</w:t>
      </w:r>
      <w:r w:rsidR="001055B7" w:rsidRPr="001055B7">
        <w:rPr>
          <w:rFonts w:ascii="Times New Roman" w:eastAsia="SimSun" w:hAnsi="Times New Roman"/>
          <w:sz w:val="20"/>
          <w:szCs w:val="20"/>
          <w:lang w:val="en-GB" w:eastAsia="ja-JP"/>
        </w:rPr>
        <w:t>QAM</w:t>
      </w:r>
      <w:r w:rsidR="008E27EB">
        <w:rPr>
          <w:rFonts w:ascii="Times New Roman" w:eastAsia="SimSun" w:hAnsi="Times New Roman"/>
          <w:sz w:val="20"/>
          <w:szCs w:val="20"/>
          <w:lang w:val="en-GB" w:eastAsia="ja-JP"/>
        </w:rPr>
        <w:t xml:space="preserve"> in UL.</w:t>
      </w:r>
    </w:p>
    <w:p w14:paraId="2537D263" w14:textId="77777777" w:rsidR="0034798F" w:rsidRDefault="0034798F" w:rsidP="0034798F">
      <w:pPr>
        <w:pStyle w:val="ListParagraph"/>
        <w:jc w:val="both"/>
        <w:rPr>
          <w:rFonts w:ascii="Times New Roman" w:eastAsia="SimSun" w:hAnsi="Times New Roman"/>
          <w:sz w:val="20"/>
          <w:szCs w:val="20"/>
          <w:lang w:val="en-GB" w:eastAsia="ja-JP"/>
        </w:rPr>
      </w:pPr>
    </w:p>
    <w:p w14:paraId="698EEBB7" w14:textId="1D07BBA4" w:rsidR="0034798F" w:rsidRDefault="0034798F" w:rsidP="0034798F">
      <w:pPr>
        <w:pStyle w:val="ListParagraph"/>
        <w:numPr>
          <w:ilvl w:val="0"/>
          <w:numId w:val="40"/>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w:t>
      </w:r>
      <w:r w:rsidRPr="00267329">
        <w:rPr>
          <w:rFonts w:ascii="Times New Roman" w:eastAsia="SimSun" w:hAnsi="Times New Roman"/>
          <w:i/>
          <w:iCs/>
          <w:sz w:val="20"/>
          <w:szCs w:val="20"/>
          <w:lang w:val="en-GB" w:eastAsia="ja-JP"/>
        </w:rPr>
        <w:t>Repetition number</w:t>
      </w:r>
      <w:r w:rsidRPr="00267329">
        <w:rPr>
          <w:rFonts w:ascii="Times New Roman" w:eastAsia="SimSun" w:hAnsi="Times New Roman"/>
          <w:sz w:val="20"/>
          <w:szCs w:val="20"/>
          <w:lang w:val="en-GB" w:eastAsia="ja-JP"/>
        </w:rPr>
        <w:t xml:space="preserve"> – </w:t>
      </w:r>
      <w:r w:rsidR="00203316" w:rsidRPr="00203316">
        <w:rPr>
          <w:rFonts w:ascii="Times New Roman" w:eastAsia="SimSun" w:hAnsi="Times New Roman"/>
          <w:sz w:val="20"/>
          <w:szCs w:val="20"/>
          <w:lang w:val="en-GB" w:eastAsia="ja-JP"/>
        </w:rPr>
        <w:t>3 bits as defined in clause 16.5.1.1</w:t>
      </w:r>
      <w:r w:rsidR="00203316">
        <w:rPr>
          <w:rFonts w:ascii="Times New Roman" w:eastAsia="SimSun" w:hAnsi="Times New Roman"/>
          <w:sz w:val="20"/>
          <w:szCs w:val="20"/>
          <w:lang w:val="en-GB" w:eastAsia="ja-JP"/>
        </w:rPr>
        <w:t xml:space="preserve"> </w:t>
      </w:r>
      <w:r w:rsidRPr="00267329">
        <w:rPr>
          <w:rFonts w:ascii="Times New Roman" w:eastAsia="SimSun" w:hAnsi="Times New Roman"/>
          <w:sz w:val="20"/>
          <w:szCs w:val="20"/>
          <w:lang w:val="en-GB" w:eastAsia="ja-JP"/>
        </w:rPr>
        <w:t>of [3]</w:t>
      </w:r>
      <w:r>
        <w:rPr>
          <w:rFonts w:ascii="Times New Roman" w:eastAsia="SimSun" w:hAnsi="Times New Roman"/>
          <w:sz w:val="20"/>
          <w:szCs w:val="20"/>
          <w:lang w:val="en-GB" w:eastAsia="ja-JP"/>
        </w:rPr>
        <w:t xml:space="preserve">”: </w:t>
      </w:r>
      <w:r w:rsidRPr="00E14C11">
        <w:rPr>
          <w:rFonts w:ascii="Times New Roman" w:eastAsia="SimSun" w:hAnsi="Times New Roman"/>
          <w:sz w:val="20"/>
          <w:szCs w:val="20"/>
          <w:lang w:val="en-GB" w:eastAsia="ja-JP"/>
        </w:rPr>
        <w:t>if “</w:t>
      </w:r>
      <w:r w:rsidRPr="00E14C11">
        <w:rPr>
          <w:rFonts w:ascii="Times New Roman" w:eastAsia="SimSun" w:hAnsi="Times New Roman"/>
          <w:i/>
          <w:iCs/>
          <w:sz w:val="20"/>
          <w:szCs w:val="20"/>
          <w:lang w:val="en-GB" w:eastAsia="ja-JP"/>
        </w:rPr>
        <w:t>Modulation and coding scheme</w:t>
      </w:r>
      <w:r w:rsidRPr="00E14C11">
        <w:rPr>
          <w:rFonts w:ascii="Times New Roman" w:eastAsia="SimSun" w:hAnsi="Times New Roman"/>
          <w:sz w:val="20"/>
          <w:szCs w:val="20"/>
          <w:lang w:val="en-GB" w:eastAsia="ja-JP"/>
        </w:rPr>
        <w:t xml:space="preserve">” indicates </w:t>
      </w:r>
      <w:r w:rsidR="00203316">
        <w:rPr>
          <w:rFonts w:ascii="Times New Roman" w:eastAsia="SimSun" w:hAnsi="Times New Roman"/>
          <w:sz w:val="20"/>
          <w:szCs w:val="20"/>
          <w:lang w:val="en-GB" w:eastAsia="ja-JP"/>
        </w:rPr>
        <w:t>state</w:t>
      </w:r>
      <w:r w:rsidRPr="00E14C11">
        <w:rPr>
          <w:rFonts w:ascii="Times New Roman" w:eastAsia="SimSun" w:hAnsi="Times New Roman"/>
          <w:sz w:val="20"/>
          <w:szCs w:val="20"/>
          <w:lang w:val="en-GB" w:eastAsia="ja-JP"/>
        </w:rPr>
        <w:t xml:space="preserve"> </w:t>
      </w:r>
      <w:r>
        <w:rPr>
          <w:rFonts w:ascii="Times New Roman" w:eastAsia="SimSun" w:hAnsi="Times New Roman"/>
          <w:sz w:val="20"/>
          <w:szCs w:val="20"/>
          <w:lang w:val="en-GB" w:eastAsia="ja-JP"/>
        </w:rPr>
        <w:t>“</w:t>
      </w:r>
      <w:r w:rsidRPr="00E14C11">
        <w:rPr>
          <w:rFonts w:ascii="Times New Roman" w:eastAsia="SimSun" w:hAnsi="Times New Roman"/>
          <w:sz w:val="20"/>
          <w:szCs w:val="20"/>
          <w:lang w:val="en-GB" w:eastAsia="ja-JP"/>
        </w:rPr>
        <w:t>1111</w:t>
      </w:r>
      <w:r>
        <w:rPr>
          <w:rFonts w:ascii="Times New Roman" w:eastAsia="SimSun" w:hAnsi="Times New Roman"/>
          <w:sz w:val="20"/>
          <w:szCs w:val="20"/>
          <w:lang w:val="en-GB" w:eastAsia="ja-JP"/>
        </w:rPr>
        <w:t>”</w:t>
      </w:r>
      <w:r w:rsidRPr="00E14C11">
        <w:rPr>
          <w:rFonts w:ascii="Times New Roman" w:eastAsia="SimSun" w:hAnsi="Times New Roman"/>
          <w:sz w:val="20"/>
          <w:szCs w:val="20"/>
          <w:lang w:val="en-GB" w:eastAsia="ja-JP"/>
        </w:rPr>
        <w:t>,</w:t>
      </w:r>
      <w:r>
        <w:rPr>
          <w:rFonts w:ascii="Times New Roman" w:eastAsia="SimSun" w:hAnsi="Times New Roman"/>
          <w:sz w:val="20"/>
          <w:szCs w:val="20"/>
          <w:lang w:val="en-GB" w:eastAsia="ja-JP"/>
        </w:rPr>
        <w:t xml:space="preserve"> </w:t>
      </w:r>
      <w:r w:rsidRPr="00E14C11">
        <w:rPr>
          <w:rFonts w:ascii="Times New Roman" w:eastAsia="SimSun" w:hAnsi="Times New Roman"/>
          <w:sz w:val="20"/>
          <w:szCs w:val="20"/>
          <w:lang w:val="en-GB" w:eastAsia="ja-JP"/>
        </w:rPr>
        <w:t>s</w:t>
      </w:r>
      <w:r>
        <w:rPr>
          <w:rFonts w:ascii="Times New Roman" w:eastAsia="SimSun" w:hAnsi="Times New Roman"/>
          <w:sz w:val="20"/>
          <w:szCs w:val="20"/>
          <w:lang w:val="en-GB" w:eastAsia="ja-JP"/>
        </w:rPr>
        <w:t>ince</w:t>
      </w:r>
      <w:r w:rsidRPr="00E14C11">
        <w:rPr>
          <w:rFonts w:ascii="Times New Roman" w:eastAsia="SimSun" w:hAnsi="Times New Roman"/>
          <w:sz w:val="20"/>
          <w:szCs w:val="20"/>
          <w:lang w:val="en-GB" w:eastAsia="ja-JP"/>
        </w:rPr>
        <w:t xml:space="preserve"> repetition</w:t>
      </w:r>
      <w:r>
        <w:rPr>
          <w:rFonts w:ascii="Times New Roman" w:eastAsia="SimSun" w:hAnsi="Times New Roman"/>
          <w:sz w:val="20"/>
          <w:szCs w:val="20"/>
          <w:lang w:val="en-GB" w:eastAsia="ja-JP"/>
        </w:rPr>
        <w:t>s</w:t>
      </w:r>
      <w:r w:rsidRPr="00E14C11">
        <w:rPr>
          <w:rFonts w:ascii="Times New Roman" w:eastAsia="SimSun" w:hAnsi="Times New Roman"/>
          <w:sz w:val="20"/>
          <w:szCs w:val="20"/>
          <w:lang w:val="en-GB" w:eastAsia="ja-JP"/>
        </w:rPr>
        <w:t xml:space="preserve"> </w:t>
      </w:r>
      <w:r>
        <w:rPr>
          <w:rFonts w:ascii="Times New Roman" w:eastAsia="SimSun" w:hAnsi="Times New Roman"/>
          <w:sz w:val="20"/>
          <w:szCs w:val="20"/>
          <w:lang w:val="en-GB" w:eastAsia="ja-JP"/>
        </w:rPr>
        <w:t>are</w:t>
      </w:r>
      <w:r w:rsidRPr="00E14C11">
        <w:rPr>
          <w:rFonts w:ascii="Times New Roman" w:eastAsia="SimSun" w:hAnsi="Times New Roman"/>
          <w:sz w:val="20"/>
          <w:szCs w:val="20"/>
          <w:lang w:val="en-GB" w:eastAsia="ja-JP"/>
        </w:rPr>
        <w:t xml:space="preserve"> not </w:t>
      </w:r>
      <w:r>
        <w:rPr>
          <w:rFonts w:ascii="Times New Roman" w:eastAsia="SimSun" w:hAnsi="Times New Roman"/>
          <w:sz w:val="20"/>
          <w:szCs w:val="20"/>
          <w:lang w:val="en-GB" w:eastAsia="ja-JP"/>
        </w:rPr>
        <w:t>us</w:t>
      </w:r>
      <w:r w:rsidRPr="00E14C11">
        <w:rPr>
          <w:rFonts w:ascii="Times New Roman" w:eastAsia="SimSun" w:hAnsi="Times New Roman"/>
          <w:sz w:val="20"/>
          <w:szCs w:val="20"/>
          <w:lang w:val="en-GB" w:eastAsia="ja-JP"/>
        </w:rPr>
        <w:t xml:space="preserve">ed for 16QAM, this field can be used </w:t>
      </w:r>
      <w:r>
        <w:rPr>
          <w:rFonts w:ascii="Times New Roman" w:eastAsia="SimSun" w:hAnsi="Times New Roman"/>
          <w:sz w:val="20"/>
          <w:szCs w:val="20"/>
          <w:lang w:val="en-GB" w:eastAsia="ja-JP"/>
        </w:rPr>
        <w:t xml:space="preserve">to indicate the TBS indices </w:t>
      </w:r>
      <w:r w:rsidR="00203316">
        <w:rPr>
          <w:rFonts w:ascii="Times New Roman" w:eastAsia="SimSun" w:hAnsi="Times New Roman"/>
          <w:sz w:val="20"/>
          <w:szCs w:val="20"/>
          <w:lang w:val="en-GB" w:eastAsia="ja-JP"/>
        </w:rPr>
        <w:t xml:space="preserve">for 16-QAM in UL </w:t>
      </w:r>
      <w:r w:rsidR="008E27EB">
        <w:rPr>
          <w:rFonts w:ascii="Times New Roman" w:eastAsia="SimSun" w:hAnsi="Times New Roman"/>
          <w:sz w:val="20"/>
          <w:szCs w:val="20"/>
          <w:lang w:val="en-GB" w:eastAsia="ja-JP"/>
        </w:rPr>
        <w:t xml:space="preserve">which </w:t>
      </w:r>
      <w:r w:rsidR="00203316">
        <w:rPr>
          <w:rFonts w:ascii="Times New Roman" w:eastAsia="SimSun" w:hAnsi="Times New Roman"/>
          <w:sz w:val="20"/>
          <w:szCs w:val="20"/>
          <w:lang w:val="en-GB" w:eastAsia="ja-JP"/>
        </w:rPr>
        <w:t xml:space="preserve">span </w:t>
      </w:r>
      <w:r w:rsidR="00203316" w:rsidRPr="00D40917">
        <w:rPr>
          <w:rFonts w:ascii="Times New Roman" w:eastAsia="SimSun" w:hAnsi="Times New Roman"/>
          <w:sz w:val="20"/>
          <w:szCs w:val="20"/>
          <w:lang w:val="en-GB" w:eastAsia="ja-JP"/>
        </w:rPr>
        <w:t>from index 14 to 21</w:t>
      </w:r>
      <w:r w:rsidR="00203316">
        <w:rPr>
          <w:rFonts w:ascii="Times New Roman" w:eastAsia="SimSun" w:hAnsi="Times New Roman"/>
          <w:sz w:val="20"/>
          <w:szCs w:val="20"/>
          <w:lang w:val="en-GB" w:eastAsia="ja-JP"/>
        </w:rPr>
        <w:t>.</w:t>
      </w:r>
    </w:p>
    <w:p w14:paraId="03175E4F" w14:textId="77777777" w:rsidR="0034798F" w:rsidRPr="0026703D" w:rsidRDefault="0034798F" w:rsidP="0034798F">
      <w:pPr>
        <w:jc w:val="both"/>
      </w:pPr>
    </w:p>
    <w:p w14:paraId="3289B053" w14:textId="6444F81B" w:rsidR="0034798F" w:rsidRDefault="0034798F" w:rsidP="0034798F">
      <w:pPr>
        <w:pStyle w:val="Proposal"/>
      </w:pPr>
      <w:bookmarkStart w:id="43" w:name="_Toc71635409"/>
      <w:r>
        <w:t xml:space="preserve">For the support of 16-QAM in </w:t>
      </w:r>
      <w:r w:rsidR="008E27EB">
        <w:t>uplink</w:t>
      </w:r>
      <w:r>
        <w:t>, the DCI design is based on:</w:t>
      </w:r>
      <w:bookmarkEnd w:id="43"/>
    </w:p>
    <w:p w14:paraId="673E3FC3" w14:textId="77777777" w:rsidR="0034798F" w:rsidRDefault="0034798F" w:rsidP="0034798F">
      <w:pPr>
        <w:pStyle w:val="Proposal"/>
        <w:numPr>
          <w:ilvl w:val="0"/>
          <w:numId w:val="0"/>
        </w:numPr>
        <w:ind w:left="1701"/>
      </w:pPr>
      <w:bookmarkStart w:id="44" w:name="_Toc71635410"/>
      <w:r>
        <w:t>Option 3: MCS field is 4 bits to indicate modulation and TBS</w:t>
      </w:r>
      <w:bookmarkEnd w:id="44"/>
    </w:p>
    <w:p w14:paraId="5A2103FD" w14:textId="77777777" w:rsidR="0034798F" w:rsidRDefault="0034798F" w:rsidP="0034798F">
      <w:pPr>
        <w:pStyle w:val="Proposal"/>
        <w:numPr>
          <w:ilvl w:val="0"/>
          <w:numId w:val="0"/>
        </w:numPr>
        <w:ind w:left="2268"/>
      </w:pPr>
      <w:bookmarkStart w:id="45" w:name="_Toc71635411"/>
      <w:r>
        <w:t>o</w:t>
      </w:r>
      <w:r>
        <w:tab/>
        <w:t>A reserved state of MCS field indicates use of 16QAM,</w:t>
      </w:r>
      <w:bookmarkEnd w:id="45"/>
      <w:r>
        <w:t xml:space="preserve"> </w:t>
      </w:r>
    </w:p>
    <w:p w14:paraId="3FA2ED2F" w14:textId="77777777" w:rsidR="0034798F" w:rsidRDefault="0034798F" w:rsidP="0034798F">
      <w:pPr>
        <w:pStyle w:val="Proposal"/>
        <w:numPr>
          <w:ilvl w:val="0"/>
          <w:numId w:val="0"/>
        </w:numPr>
        <w:ind w:left="2268"/>
      </w:pPr>
      <w:bookmarkStart w:id="46" w:name="_Toc71635412"/>
      <w:r>
        <w:t>o</w:t>
      </w:r>
      <w:r>
        <w:tab/>
        <w:t>Repetition field indicates 16QAM MCS if 16QAM is indicated to be used.</w:t>
      </w:r>
      <w:bookmarkEnd w:id="46"/>
    </w:p>
    <w:p w14:paraId="6871E99B" w14:textId="2311F21D" w:rsidR="0034798F" w:rsidRDefault="0034798F" w:rsidP="0034798F">
      <w:pPr>
        <w:pStyle w:val="Proposal"/>
      </w:pPr>
      <w:bookmarkStart w:id="47" w:name="_Toc71635413"/>
      <w:r>
        <w:t>In DCI format N</w:t>
      </w:r>
      <w:r w:rsidR="008E27EB">
        <w:t>0</w:t>
      </w:r>
      <w:r>
        <w:t>:</w:t>
      </w:r>
      <w:bookmarkEnd w:id="47"/>
    </w:p>
    <w:p w14:paraId="751BCEB9" w14:textId="29F1391A" w:rsidR="0034798F" w:rsidRDefault="0034798F" w:rsidP="0034798F">
      <w:pPr>
        <w:pStyle w:val="Proposal"/>
        <w:numPr>
          <w:ilvl w:val="0"/>
          <w:numId w:val="43"/>
        </w:numPr>
      </w:pPr>
      <w:bookmarkStart w:id="48" w:name="_Toc71635414"/>
      <w:r>
        <w:t>In the “</w:t>
      </w:r>
      <w:r w:rsidRPr="000F7ED4">
        <w:rPr>
          <w:i/>
          <w:iCs/>
        </w:rPr>
        <w:t>Modulation and coding scheme</w:t>
      </w:r>
      <w:r>
        <w:t xml:space="preserve">” field, the reserved state “1111” </w:t>
      </w:r>
      <w:r w:rsidR="008E27EB">
        <w:t>is</w:t>
      </w:r>
      <w:r>
        <w:t xml:space="preserve"> used to </w:t>
      </w:r>
      <w:r w:rsidRPr="000F7ED4">
        <w:t>indicate</w:t>
      </w:r>
      <w:r w:rsidR="008E27EB">
        <w:t xml:space="preserve"> the use of</w:t>
      </w:r>
      <w:r w:rsidRPr="000F7ED4">
        <w:t xml:space="preserve"> 16-QAM </w:t>
      </w:r>
      <w:r w:rsidR="008E27EB">
        <w:t>in UL</w:t>
      </w:r>
      <w:r>
        <w:t>.</w:t>
      </w:r>
      <w:bookmarkEnd w:id="48"/>
    </w:p>
    <w:p w14:paraId="46D6933B" w14:textId="02915BD3" w:rsidR="0034798F" w:rsidRDefault="0034798F" w:rsidP="0034798F">
      <w:pPr>
        <w:pStyle w:val="Proposal"/>
        <w:numPr>
          <w:ilvl w:val="0"/>
          <w:numId w:val="43"/>
        </w:numPr>
      </w:pPr>
      <w:bookmarkStart w:id="49" w:name="_Toc71635415"/>
      <w:r>
        <w:t>I</w:t>
      </w:r>
      <w:r w:rsidR="002F58B4">
        <w:t xml:space="preserve">f the use of 16-QAM in </w:t>
      </w:r>
      <w:r w:rsidR="009A1427">
        <w:t>U</w:t>
      </w:r>
      <w:r w:rsidR="002F58B4">
        <w:t>L has been indicated, in</w:t>
      </w:r>
      <w:r>
        <w:t xml:space="preserve"> the “</w:t>
      </w:r>
      <w:r w:rsidRPr="000F7ED4">
        <w:rPr>
          <w:i/>
          <w:iCs/>
        </w:rPr>
        <w:t>Repetition number</w:t>
      </w:r>
      <w:r>
        <w:t xml:space="preserve">” field, </w:t>
      </w:r>
      <w:r w:rsidR="008E27EB">
        <w:t xml:space="preserve">the </w:t>
      </w:r>
      <w:r>
        <w:t xml:space="preserve">3 bits are used to indicate the TBS indices for 16-QAM in </w:t>
      </w:r>
      <w:r w:rsidR="008E27EB">
        <w:t>U</w:t>
      </w:r>
      <w:r>
        <w:t xml:space="preserve">L </w:t>
      </w:r>
      <w:r w:rsidR="008E27EB">
        <w:t>spanning from index 14 to 21.</w:t>
      </w:r>
      <w:bookmarkEnd w:id="49"/>
    </w:p>
    <w:p w14:paraId="66B41C6C" w14:textId="12C4154F" w:rsidR="008E27EB" w:rsidRDefault="008E27EB" w:rsidP="008E27EB">
      <w:pPr>
        <w:pStyle w:val="Heading2"/>
      </w:pPr>
      <w:r>
        <w:t>3.2</w:t>
      </w:r>
      <w:r>
        <w:tab/>
      </w:r>
      <w:r w:rsidR="007239F1">
        <w:t>Additional power control parameter for 16-QAM in UL</w:t>
      </w:r>
    </w:p>
    <w:p w14:paraId="416218A4" w14:textId="149D8FBD" w:rsidR="008E27EB" w:rsidRDefault="008E27EB" w:rsidP="002A7BD4">
      <w:pPr>
        <w:jc w:val="both"/>
      </w:pPr>
      <w:r>
        <w:t>In RAN1# 104-bis-e, the following was noted:</w:t>
      </w:r>
    </w:p>
    <w:tbl>
      <w:tblPr>
        <w:tblStyle w:val="TableGrid"/>
        <w:tblW w:w="0" w:type="auto"/>
        <w:tblLook w:val="04A0" w:firstRow="1" w:lastRow="0" w:firstColumn="1" w:lastColumn="0" w:noHBand="0" w:noVBand="1"/>
      </w:tblPr>
      <w:tblGrid>
        <w:gridCol w:w="9629"/>
      </w:tblGrid>
      <w:tr w:rsidR="008E27EB" w14:paraId="3DA62DB3" w14:textId="77777777" w:rsidTr="008E27EB">
        <w:tc>
          <w:tcPr>
            <w:tcW w:w="9629" w:type="dxa"/>
          </w:tcPr>
          <w:p w14:paraId="01F21C20" w14:textId="77777777" w:rsidR="008E27EB" w:rsidRPr="008E27EB" w:rsidRDefault="008E27EB" w:rsidP="008E27EB">
            <w:pPr>
              <w:overflowPunct/>
              <w:autoSpaceDE/>
              <w:autoSpaceDN/>
              <w:adjustRightInd/>
              <w:spacing w:after="0"/>
              <w:textAlignment w:val="auto"/>
              <w:rPr>
                <w:rFonts w:ascii="Times" w:eastAsia="Batang" w:hAnsi="Times"/>
                <w:b/>
                <w:bCs/>
                <w:sz w:val="18"/>
                <w:szCs w:val="20"/>
                <w:lang w:eastAsia="x-none"/>
              </w:rPr>
            </w:pPr>
            <w:r w:rsidRPr="008E27EB">
              <w:rPr>
                <w:rFonts w:ascii="Times" w:eastAsia="Batang" w:hAnsi="Times"/>
                <w:b/>
                <w:bCs/>
                <w:sz w:val="18"/>
                <w:szCs w:val="20"/>
                <w:lang w:eastAsia="x-none"/>
              </w:rPr>
              <w:t>For future meeting:</w:t>
            </w:r>
          </w:p>
          <w:p w14:paraId="3F57356A" w14:textId="77777777" w:rsidR="008E27EB" w:rsidRDefault="008E27EB" w:rsidP="008E27EB">
            <w:pPr>
              <w:numPr>
                <w:ilvl w:val="0"/>
                <w:numId w:val="45"/>
              </w:numPr>
              <w:overflowPunct/>
              <w:autoSpaceDE/>
              <w:autoSpaceDN/>
              <w:adjustRightInd/>
              <w:spacing w:after="0"/>
              <w:textAlignment w:val="auto"/>
              <w:rPr>
                <w:rFonts w:ascii="Times" w:eastAsia="Batang" w:hAnsi="Times"/>
                <w:bCs/>
                <w:sz w:val="18"/>
                <w:szCs w:val="20"/>
                <w:lang w:eastAsia="x-none"/>
              </w:rPr>
            </w:pPr>
            <w:r w:rsidRPr="008E27EB">
              <w:rPr>
                <w:rFonts w:ascii="Times" w:eastAsia="Batang" w:hAnsi="Times"/>
                <w:bCs/>
                <w:sz w:val="18"/>
                <w:szCs w:val="20"/>
                <w:lang w:eastAsia="en-US"/>
              </w:rPr>
              <w:t xml:space="preserve">Additional power control parameter for 16-QAM (e.g. similar to </w:t>
            </w:r>
            <w:r w:rsidRPr="008E27EB">
              <w:rPr>
                <w:rFonts w:ascii="Times" w:eastAsia="Batang" w:hAnsi="Times" w:cs="Times"/>
                <w:bCs/>
                <w:sz w:val="18"/>
                <w:szCs w:val="20"/>
                <w:lang w:eastAsia="en-US"/>
              </w:rPr>
              <w:t>Δ</w:t>
            </w:r>
            <w:r w:rsidRPr="008E27EB">
              <w:rPr>
                <w:rFonts w:ascii="Times" w:eastAsia="Batang" w:hAnsi="Times"/>
                <w:bCs/>
                <w:i/>
                <w:sz w:val="18"/>
                <w:szCs w:val="20"/>
                <w:vertAlign w:val="subscript"/>
                <w:lang w:eastAsia="en-US"/>
              </w:rPr>
              <w:t>TF</w:t>
            </w:r>
            <w:r w:rsidRPr="008E27EB">
              <w:rPr>
                <w:rFonts w:ascii="Times" w:eastAsia="Batang" w:hAnsi="Times"/>
                <w:bCs/>
                <w:sz w:val="18"/>
                <w:szCs w:val="20"/>
                <w:lang w:eastAsia="en-US"/>
              </w:rPr>
              <w:t>)</w:t>
            </w:r>
          </w:p>
          <w:p w14:paraId="7B42683F" w14:textId="1CB74ED0" w:rsidR="008E27EB" w:rsidRPr="008E27EB" w:rsidRDefault="008E27EB" w:rsidP="008E27EB">
            <w:pPr>
              <w:overflowPunct/>
              <w:autoSpaceDE/>
              <w:autoSpaceDN/>
              <w:adjustRightInd/>
              <w:spacing w:after="0"/>
              <w:ind w:left="720"/>
              <w:textAlignment w:val="auto"/>
              <w:rPr>
                <w:rFonts w:ascii="Times" w:eastAsia="Batang" w:hAnsi="Times"/>
                <w:bCs/>
                <w:sz w:val="18"/>
                <w:szCs w:val="20"/>
                <w:lang w:eastAsia="x-none"/>
              </w:rPr>
            </w:pPr>
          </w:p>
        </w:tc>
      </w:tr>
    </w:tbl>
    <w:p w14:paraId="7B9FEFD7" w14:textId="77777777" w:rsidR="008E27EB" w:rsidRDefault="008E27EB" w:rsidP="002A7BD4">
      <w:pPr>
        <w:jc w:val="both"/>
      </w:pPr>
    </w:p>
    <w:p w14:paraId="67AE4575" w14:textId="36CFCAF1" w:rsidR="00D83DCE" w:rsidRDefault="008E27EB" w:rsidP="002A7BD4">
      <w:pPr>
        <w:jc w:val="both"/>
      </w:pPr>
      <w:r>
        <w:t>I</w:t>
      </w:r>
      <w:r w:rsidR="00263866">
        <w:t>n</w:t>
      </w:r>
      <w:r w:rsidR="002A7BD4">
        <w:t xml:space="preserve"> LTE </w:t>
      </w:r>
      <w:r w:rsidR="008B637F">
        <w:t xml:space="preserve">the term </w:t>
      </w:r>
      <w:r w:rsidR="002A7BD4">
        <w:t>Δ</w:t>
      </w:r>
      <w:r w:rsidR="002A7BD4" w:rsidRPr="008B637F">
        <w:rPr>
          <w:vertAlign w:val="subscript"/>
        </w:rPr>
        <w:t>TF</w:t>
      </w:r>
      <w:r w:rsidR="002A7BD4">
        <w:t xml:space="preserve"> in the power control equation</w:t>
      </w:r>
      <w:r w:rsidR="000F33F8">
        <w:t xml:space="preserve"> is used</w:t>
      </w:r>
      <w:r w:rsidR="002A7BD4">
        <w:t xml:space="preserve"> to increase the power when the number of bits per RE is increased by a higher order modulation scheme, hence in </w:t>
      </w:r>
      <w:r w:rsidR="00FE5C38">
        <w:t xml:space="preserve">the </w:t>
      </w:r>
      <w:r w:rsidR="002A7BD4">
        <w:t>case of using 16-QAM in UL it should be possible to incorporate a similar element into the NB-IoT’s equation.</w:t>
      </w:r>
    </w:p>
    <w:p w14:paraId="46CBFDB1" w14:textId="289F6BE6" w:rsidR="002A7BD4" w:rsidRDefault="00263866" w:rsidP="00263866">
      <w:pPr>
        <w:pStyle w:val="Observation"/>
        <w:ind w:left="1701" w:hanging="1701"/>
      </w:pPr>
      <w:bookmarkStart w:id="50" w:name="_Toc71635383"/>
      <w:r>
        <w:t xml:space="preserve">In </w:t>
      </w:r>
      <w:r w:rsidRPr="00263866">
        <w:t>LTE, the term Δ</w:t>
      </w:r>
      <w:r w:rsidRPr="00263866">
        <w:rPr>
          <w:vertAlign w:val="subscript"/>
        </w:rPr>
        <w:t>TF</w:t>
      </w:r>
      <w:r w:rsidRPr="00263866">
        <w:t xml:space="preserve"> in the power control equation </w:t>
      </w:r>
      <w:r>
        <w:t>increases</w:t>
      </w:r>
      <w:r w:rsidRPr="00263866">
        <w:t xml:space="preserve"> the power when the number of bits per RE is increased by a higher order modulation scheme, a similar element </w:t>
      </w:r>
      <w:r>
        <w:t xml:space="preserve">can be incorporated </w:t>
      </w:r>
      <w:r w:rsidRPr="00263866">
        <w:t>into the NB-IoT’s equation</w:t>
      </w:r>
      <w:r>
        <w:t xml:space="preserve"> for 16-QAM in UL.</w:t>
      </w:r>
      <w:bookmarkEnd w:id="50"/>
    </w:p>
    <w:p w14:paraId="06FB242F" w14:textId="5CA944DC" w:rsidR="00263866" w:rsidRDefault="00263866" w:rsidP="00263866">
      <w:pPr>
        <w:pStyle w:val="Proposal"/>
      </w:pPr>
      <w:bookmarkStart w:id="51" w:name="_Toc71635416"/>
      <w:r>
        <w:t>Incorporate</w:t>
      </w:r>
      <w:r w:rsidRPr="00263866">
        <w:t xml:space="preserve"> into the UE’s transmit power control equation</w:t>
      </w:r>
      <w:r>
        <w:t>,</w:t>
      </w:r>
      <w:r w:rsidRPr="00263866">
        <w:t xml:space="preserve"> </w:t>
      </w:r>
      <w:r>
        <w:t>a new</w:t>
      </w:r>
      <w:r w:rsidRPr="00263866">
        <w:t xml:space="preserve"> </w:t>
      </w:r>
      <w:r>
        <w:t xml:space="preserve">term </w:t>
      </w:r>
      <w:r w:rsidRPr="00263866">
        <w:t xml:space="preserve">to boost the power when the number of bits per RE is increased </w:t>
      </w:r>
      <w:r w:rsidR="00971B73">
        <w:t>due to</w:t>
      </w:r>
      <w:r>
        <w:t xml:space="preserve"> the use of </w:t>
      </w:r>
      <w:r w:rsidRPr="00263866">
        <w:t>16-QAM</w:t>
      </w:r>
      <w:r>
        <w:t xml:space="preserve"> in UL.</w:t>
      </w:r>
      <w:bookmarkEnd w:id="51"/>
    </w:p>
    <w:p w14:paraId="64C3866F" w14:textId="42C2381F" w:rsidR="008E27EB" w:rsidRPr="0000293C" w:rsidRDefault="008E27EB" w:rsidP="008E27EB">
      <w:pPr>
        <w:pStyle w:val="Proposal"/>
        <w:numPr>
          <w:ilvl w:val="0"/>
          <w:numId w:val="0"/>
        </w:numPr>
        <w:ind w:left="1701"/>
      </w:pPr>
      <w:bookmarkStart w:id="52" w:name="_Toc71635417"/>
      <w:r>
        <w:t xml:space="preserve">FFS: </w:t>
      </w:r>
      <w:r w:rsidR="00EF1591">
        <w:t>Details on t</w:t>
      </w:r>
      <w:r>
        <w:t xml:space="preserve">he power </w:t>
      </w:r>
      <w:r w:rsidR="00EF1591">
        <w:t xml:space="preserve">increase </w:t>
      </w:r>
      <w:r>
        <w:t xml:space="preserve">provided by the </w:t>
      </w:r>
      <w:r w:rsidR="00EF1591">
        <w:t xml:space="preserve">new </w:t>
      </w:r>
      <w:r>
        <w:t>term.</w:t>
      </w:r>
      <w:bookmarkEnd w:id="52"/>
    </w:p>
    <w:p w14:paraId="27991A18" w14:textId="48B439C5" w:rsidR="00D83DCE" w:rsidRDefault="00D83DCE" w:rsidP="00D83DCE">
      <w:pPr>
        <w:pStyle w:val="Heading1"/>
      </w:pPr>
      <w:r>
        <w:t>4</w:t>
      </w:r>
      <w:r w:rsidR="005140EA">
        <w:tab/>
      </w:r>
      <w:r>
        <w:t>Other topics</w:t>
      </w:r>
    </w:p>
    <w:p w14:paraId="3FBB8A24" w14:textId="38989D16" w:rsidR="00D640C2" w:rsidRPr="00E030F6" w:rsidRDefault="00D640C2" w:rsidP="00C2625B">
      <w:pPr>
        <w:pStyle w:val="Heading2"/>
      </w:pPr>
      <w:r>
        <w:t>4</w:t>
      </w:r>
      <w:r w:rsidRPr="00914520">
        <w:t>.</w:t>
      </w:r>
      <w:r>
        <w:t>1</w:t>
      </w:r>
      <w:r w:rsidRPr="00914520">
        <w:tab/>
        <w:t xml:space="preserve">On </w:t>
      </w:r>
      <w:r w:rsidR="00C2625B">
        <w:t xml:space="preserve">the applicability </w:t>
      </w:r>
      <w:r w:rsidRPr="00E030F6">
        <w:t xml:space="preserve">of 16-QAM for PUR </w:t>
      </w:r>
      <w:r>
        <w:t>and/</w:t>
      </w:r>
      <w:r w:rsidRPr="00E030F6">
        <w:t xml:space="preserve">or </w:t>
      </w:r>
      <w:r w:rsidR="00C2625B">
        <w:t>Multi-TB Grant</w:t>
      </w:r>
    </w:p>
    <w:p w14:paraId="18AF55E8" w14:textId="705E537E" w:rsidR="00D640C2" w:rsidRDefault="00D640C2" w:rsidP="00D640C2">
      <w:pPr>
        <w:jc w:val="both"/>
      </w:pPr>
      <w:r w:rsidRPr="00E030F6">
        <w:t>The applicabilit</w:t>
      </w:r>
      <w:r w:rsidRPr="00E356C8">
        <w:t xml:space="preserve">y of 16-QAM for PUR </w:t>
      </w:r>
      <w:r w:rsidR="00C2625B">
        <w:t>and/or</w:t>
      </w:r>
      <w:r w:rsidRPr="00E356C8">
        <w:t xml:space="preserve"> </w:t>
      </w:r>
      <w:r w:rsidR="00C2625B">
        <w:t>Multi-TB Grant</w:t>
      </w:r>
      <w:r w:rsidRPr="00E356C8">
        <w:t xml:space="preserve"> </w:t>
      </w:r>
      <w:r w:rsidR="00C2625B">
        <w:t>is to be discussed at the upcoming e-meeting</w:t>
      </w:r>
      <w:r w:rsidRPr="00E356C8">
        <w:t>:</w:t>
      </w:r>
    </w:p>
    <w:tbl>
      <w:tblPr>
        <w:tblStyle w:val="TableGrid"/>
        <w:tblW w:w="0" w:type="auto"/>
        <w:tblLook w:val="04A0" w:firstRow="1" w:lastRow="0" w:firstColumn="1" w:lastColumn="0" w:noHBand="0" w:noVBand="1"/>
      </w:tblPr>
      <w:tblGrid>
        <w:gridCol w:w="9629"/>
      </w:tblGrid>
      <w:tr w:rsidR="00C2625B" w14:paraId="70FE61F7" w14:textId="77777777" w:rsidTr="00C2625B">
        <w:tc>
          <w:tcPr>
            <w:tcW w:w="9629" w:type="dxa"/>
          </w:tcPr>
          <w:p w14:paraId="0395251D" w14:textId="7378CB89" w:rsidR="00C2625B" w:rsidRDefault="00C2625B" w:rsidP="00C2625B">
            <w:pPr>
              <w:overflowPunct/>
              <w:autoSpaceDE/>
              <w:autoSpaceDN/>
              <w:adjustRightInd/>
              <w:spacing w:after="0"/>
              <w:textAlignment w:val="auto"/>
              <w:rPr>
                <w:rFonts w:ascii="Times" w:eastAsia="Batang" w:hAnsi="Times"/>
                <w:b/>
                <w:bCs/>
                <w:sz w:val="18"/>
                <w:szCs w:val="20"/>
                <w:lang w:eastAsia="x-none"/>
              </w:rPr>
            </w:pPr>
            <w:r w:rsidRPr="00C2625B">
              <w:rPr>
                <w:rFonts w:ascii="Times" w:eastAsia="Batang" w:hAnsi="Times"/>
                <w:b/>
                <w:bCs/>
                <w:sz w:val="18"/>
                <w:szCs w:val="20"/>
                <w:lang w:eastAsia="x-none"/>
              </w:rPr>
              <w:t>For future meeting:</w:t>
            </w:r>
          </w:p>
          <w:p w14:paraId="7C2532AA" w14:textId="77777777" w:rsidR="00C2625B" w:rsidRPr="00C2625B" w:rsidRDefault="00C2625B" w:rsidP="00C2625B">
            <w:pPr>
              <w:overflowPunct/>
              <w:autoSpaceDE/>
              <w:autoSpaceDN/>
              <w:adjustRightInd/>
              <w:spacing w:after="0"/>
              <w:textAlignment w:val="auto"/>
              <w:rPr>
                <w:rFonts w:ascii="Times" w:eastAsia="Batang" w:hAnsi="Times"/>
                <w:b/>
                <w:bCs/>
                <w:sz w:val="18"/>
                <w:szCs w:val="20"/>
                <w:lang w:eastAsia="x-none"/>
              </w:rPr>
            </w:pPr>
          </w:p>
          <w:p w14:paraId="477159C9" w14:textId="77777777" w:rsidR="00C2625B" w:rsidRDefault="00C2625B" w:rsidP="00C2625B">
            <w:pPr>
              <w:numPr>
                <w:ilvl w:val="0"/>
                <w:numId w:val="45"/>
              </w:numPr>
              <w:overflowPunct/>
              <w:autoSpaceDE/>
              <w:autoSpaceDN/>
              <w:adjustRightInd/>
              <w:spacing w:after="0"/>
              <w:textAlignment w:val="auto"/>
              <w:rPr>
                <w:rFonts w:ascii="Times" w:eastAsia="Batang" w:hAnsi="Times"/>
                <w:sz w:val="18"/>
                <w:szCs w:val="20"/>
                <w:lang w:eastAsia="x-none"/>
              </w:rPr>
            </w:pPr>
            <w:r w:rsidRPr="00C2625B">
              <w:rPr>
                <w:rFonts w:ascii="Times" w:eastAsia="Batang" w:hAnsi="Times"/>
                <w:sz w:val="18"/>
                <w:szCs w:val="20"/>
                <w:lang w:eastAsia="x-none"/>
              </w:rPr>
              <w:lastRenderedPageBreak/>
              <w:t>Applicability of 16QAM for PUR and multi-TB scheduling</w:t>
            </w:r>
          </w:p>
          <w:p w14:paraId="4D7A899E" w14:textId="4FD55D83" w:rsidR="00C2625B" w:rsidRPr="00C2625B" w:rsidRDefault="00C2625B" w:rsidP="00C2625B">
            <w:pPr>
              <w:overflowPunct/>
              <w:autoSpaceDE/>
              <w:autoSpaceDN/>
              <w:adjustRightInd/>
              <w:spacing w:after="0"/>
              <w:ind w:left="720"/>
              <w:textAlignment w:val="auto"/>
              <w:rPr>
                <w:rFonts w:ascii="Times" w:eastAsia="Batang" w:hAnsi="Times"/>
                <w:sz w:val="18"/>
                <w:szCs w:val="20"/>
                <w:lang w:eastAsia="x-none"/>
              </w:rPr>
            </w:pPr>
          </w:p>
        </w:tc>
      </w:tr>
    </w:tbl>
    <w:p w14:paraId="45FB5675" w14:textId="77777777" w:rsidR="00D640C2" w:rsidRPr="00C2625B" w:rsidRDefault="00D640C2" w:rsidP="00C2625B">
      <w:pPr>
        <w:jc w:val="both"/>
      </w:pPr>
    </w:p>
    <w:p w14:paraId="0B99E5FB" w14:textId="77777777" w:rsidR="00C2625B" w:rsidRPr="00C2625B" w:rsidRDefault="00D640C2" w:rsidP="00247762">
      <w:pPr>
        <w:pStyle w:val="ListParagraph"/>
        <w:numPr>
          <w:ilvl w:val="0"/>
          <w:numId w:val="31"/>
        </w:numPr>
        <w:ind w:left="1134" w:hanging="567"/>
        <w:jc w:val="both"/>
        <w:rPr>
          <w:rFonts w:ascii="Times New Roman" w:hAnsi="Times New Roman"/>
          <w:sz w:val="20"/>
          <w:szCs w:val="20"/>
        </w:rPr>
      </w:pPr>
      <w:r w:rsidRPr="00E356C8">
        <w:rPr>
          <w:rFonts w:ascii="Times New Roman" w:hAnsi="Times New Roman"/>
          <w:sz w:val="20"/>
          <w:szCs w:val="20"/>
        </w:rPr>
        <w:t>PUR: In Rel-16, 3GPP introduced the possibility of performing NPUSCH transmissions over pre-configured resources</w:t>
      </w:r>
      <w:r w:rsidRPr="002113F3">
        <w:rPr>
          <w:rFonts w:ascii="Times New Roman" w:hAnsi="Times New Roman"/>
          <w:sz w:val="20"/>
          <w:szCs w:val="20"/>
          <w:lang w:val="en-US"/>
        </w:rPr>
        <w:t xml:space="preserve"> </w:t>
      </w:r>
      <w:r>
        <w:rPr>
          <w:rFonts w:ascii="Times New Roman" w:hAnsi="Times New Roman"/>
          <w:sz w:val="20"/>
          <w:szCs w:val="20"/>
          <w:lang w:val="en-US"/>
        </w:rPr>
        <w:t>(PUR)</w:t>
      </w:r>
      <w:r w:rsidRPr="00E356C8">
        <w:rPr>
          <w:rFonts w:ascii="Times New Roman" w:hAnsi="Times New Roman"/>
          <w:sz w:val="20"/>
          <w:szCs w:val="20"/>
        </w:rPr>
        <w:t>. In short, the UE in connected-mode obtains a pre-configuration of UL resources (UL grant), which it will use once it has transition</w:t>
      </w:r>
      <w:r w:rsidRPr="002113F3">
        <w:rPr>
          <w:rFonts w:ascii="Times New Roman" w:hAnsi="Times New Roman"/>
          <w:sz w:val="20"/>
          <w:szCs w:val="20"/>
          <w:lang w:val="en-US"/>
        </w:rPr>
        <w:t>ed</w:t>
      </w:r>
      <w:r w:rsidRPr="00E356C8">
        <w:rPr>
          <w:rFonts w:ascii="Times New Roman" w:hAnsi="Times New Roman"/>
          <w:sz w:val="20"/>
          <w:szCs w:val="20"/>
        </w:rPr>
        <w:t xml:space="preserve"> to idle-mode as to transmit in UL as long as its Timing Advance is tested to be valid.</w:t>
      </w:r>
      <w:r w:rsidR="00C2625B" w:rsidRPr="00C2625B">
        <w:rPr>
          <w:rFonts w:ascii="Times New Roman" w:hAnsi="Times New Roman"/>
          <w:sz w:val="20"/>
          <w:szCs w:val="20"/>
          <w:lang w:val="en-US"/>
        </w:rPr>
        <w:t xml:space="preserve"> </w:t>
      </w:r>
    </w:p>
    <w:p w14:paraId="0BC82453" w14:textId="77777777" w:rsidR="00C2625B" w:rsidRDefault="00C2625B" w:rsidP="00C2625B">
      <w:pPr>
        <w:pStyle w:val="ListParagraph"/>
        <w:ind w:left="1134"/>
        <w:jc w:val="both"/>
        <w:rPr>
          <w:rFonts w:ascii="Times New Roman" w:hAnsi="Times New Roman"/>
          <w:sz w:val="20"/>
          <w:szCs w:val="20"/>
        </w:rPr>
      </w:pPr>
    </w:p>
    <w:p w14:paraId="2B7907A9" w14:textId="2A656158" w:rsidR="00C319C0" w:rsidRDefault="00C2625B" w:rsidP="00C2625B">
      <w:pPr>
        <w:pStyle w:val="ListParagraph"/>
        <w:ind w:left="1134"/>
        <w:jc w:val="both"/>
        <w:rPr>
          <w:rFonts w:ascii="Times New Roman" w:hAnsi="Times New Roman"/>
          <w:sz w:val="20"/>
          <w:szCs w:val="20"/>
          <w:lang w:val="en-US"/>
        </w:rPr>
      </w:pPr>
      <w:r>
        <w:rPr>
          <w:rFonts w:ascii="Times New Roman" w:hAnsi="Times New Roman"/>
          <w:sz w:val="20"/>
          <w:szCs w:val="20"/>
          <w:lang w:val="en-US"/>
        </w:rPr>
        <w:t xml:space="preserve">On the applicability of 16-QAM for PUR, </w:t>
      </w:r>
      <w:bookmarkStart w:id="53" w:name="_Hlk71063513"/>
      <w:r w:rsidRPr="00C2625B">
        <w:rPr>
          <w:rFonts w:ascii="Times New Roman" w:hAnsi="Times New Roman"/>
          <w:sz w:val="20"/>
          <w:szCs w:val="20"/>
          <w:lang w:val="en-US"/>
        </w:rPr>
        <w:t>when the UE is in connected-mode to get the UL pre-configuration the radio conditions may be good as to use 16-QAM, but it can take some time for the UE to transition to idle-mode until it has its PUR transmission opportunity</w:t>
      </w:r>
      <w:r>
        <w:rPr>
          <w:rFonts w:ascii="Times New Roman" w:hAnsi="Times New Roman"/>
          <w:sz w:val="20"/>
          <w:szCs w:val="20"/>
          <w:lang w:val="en-US"/>
        </w:rPr>
        <w:t xml:space="preserve"> available</w:t>
      </w:r>
      <w:r w:rsidRPr="00C2625B">
        <w:rPr>
          <w:rFonts w:ascii="Times New Roman" w:hAnsi="Times New Roman"/>
          <w:sz w:val="20"/>
          <w:szCs w:val="20"/>
          <w:lang w:val="en-US"/>
        </w:rPr>
        <w:t>, by that time the radio conditions may have changed and 16-QAM may not be suitable anymore</w:t>
      </w:r>
      <w:bookmarkEnd w:id="53"/>
      <w:r>
        <w:rPr>
          <w:rFonts w:ascii="Times New Roman" w:hAnsi="Times New Roman"/>
          <w:sz w:val="20"/>
          <w:szCs w:val="20"/>
          <w:lang w:val="en-US"/>
        </w:rPr>
        <w:t xml:space="preserve">. </w:t>
      </w:r>
      <w:r w:rsidR="005F70A3">
        <w:rPr>
          <w:rFonts w:ascii="Times New Roman" w:hAnsi="Times New Roman"/>
          <w:sz w:val="20"/>
          <w:szCs w:val="20"/>
          <w:lang w:val="en-US"/>
        </w:rPr>
        <w:t>Moreover, 16-QAM for PUR will only be suitable for Dedicated-PUR since Shared-PUR operates in a low-SNR region</w:t>
      </w:r>
      <w:r w:rsidR="001A199C">
        <w:rPr>
          <w:rFonts w:ascii="Times New Roman" w:hAnsi="Times New Roman"/>
          <w:sz w:val="20"/>
          <w:szCs w:val="20"/>
          <w:lang w:val="en-US"/>
        </w:rPr>
        <w:t>.</w:t>
      </w:r>
      <w:r>
        <w:rPr>
          <w:rFonts w:ascii="Times New Roman" w:hAnsi="Times New Roman"/>
          <w:sz w:val="20"/>
          <w:szCs w:val="20"/>
          <w:lang w:val="en-US"/>
        </w:rPr>
        <w:t xml:space="preserve"> </w:t>
      </w:r>
      <w:r w:rsidR="005F70A3">
        <w:rPr>
          <w:rFonts w:ascii="Times New Roman" w:hAnsi="Times New Roman"/>
          <w:sz w:val="20"/>
          <w:szCs w:val="20"/>
          <w:lang w:val="en-US"/>
        </w:rPr>
        <w:t xml:space="preserve">It is not straight forward to say that 16-QAM is suitable for PUR, only if there is some sort of knowledge at the eNodeB that can for example determine </w:t>
      </w:r>
      <w:r w:rsidR="00FD614D">
        <w:rPr>
          <w:rFonts w:ascii="Times New Roman" w:hAnsi="Times New Roman"/>
          <w:sz w:val="20"/>
          <w:szCs w:val="20"/>
          <w:lang w:val="en-US"/>
        </w:rPr>
        <w:t xml:space="preserve">in a confident way </w:t>
      </w:r>
      <w:r w:rsidR="005F70A3">
        <w:rPr>
          <w:rFonts w:ascii="Times New Roman" w:hAnsi="Times New Roman"/>
          <w:sz w:val="20"/>
          <w:szCs w:val="20"/>
          <w:lang w:val="en-US"/>
        </w:rPr>
        <w:t xml:space="preserve">that there are UEs close to the eNodeB experiencing good radio conditions and those UEs are stationary then using 16-QAM may be advantageous. To </w:t>
      </w:r>
      <w:r w:rsidR="00C319C0">
        <w:rPr>
          <w:rFonts w:ascii="Times New Roman" w:hAnsi="Times New Roman"/>
          <w:sz w:val="20"/>
          <w:szCs w:val="20"/>
          <w:lang w:val="en-US"/>
        </w:rPr>
        <w:t>leave</w:t>
      </w:r>
      <w:r w:rsidR="005F70A3">
        <w:rPr>
          <w:rFonts w:ascii="Times New Roman" w:hAnsi="Times New Roman"/>
          <w:sz w:val="20"/>
          <w:szCs w:val="20"/>
          <w:lang w:val="en-US"/>
        </w:rPr>
        <w:t xml:space="preserve"> the </w:t>
      </w:r>
      <w:r w:rsidR="00C319C0">
        <w:rPr>
          <w:rFonts w:ascii="Times New Roman" w:hAnsi="Times New Roman"/>
          <w:sz w:val="20"/>
          <w:szCs w:val="20"/>
          <w:lang w:val="en-US"/>
        </w:rPr>
        <w:t xml:space="preserve">door </w:t>
      </w:r>
      <w:r w:rsidR="005F70A3">
        <w:rPr>
          <w:rFonts w:ascii="Times New Roman" w:hAnsi="Times New Roman"/>
          <w:sz w:val="20"/>
          <w:szCs w:val="20"/>
          <w:lang w:val="en-US"/>
        </w:rPr>
        <w:t>open to those possible case</w:t>
      </w:r>
      <w:r w:rsidR="00C319C0">
        <w:rPr>
          <w:rFonts w:ascii="Times New Roman" w:hAnsi="Times New Roman"/>
          <w:sz w:val="20"/>
          <w:szCs w:val="20"/>
          <w:lang w:val="en-US"/>
        </w:rPr>
        <w:t>s</w:t>
      </w:r>
      <w:r w:rsidR="005F70A3">
        <w:rPr>
          <w:rFonts w:ascii="Times New Roman" w:hAnsi="Times New Roman"/>
          <w:sz w:val="20"/>
          <w:szCs w:val="20"/>
          <w:lang w:val="en-US"/>
        </w:rPr>
        <w:t xml:space="preserve">, it will be ok that 16-QAM </w:t>
      </w:r>
      <w:r w:rsidR="00FD614D">
        <w:rPr>
          <w:rFonts w:ascii="Times New Roman" w:hAnsi="Times New Roman"/>
          <w:sz w:val="20"/>
          <w:szCs w:val="20"/>
          <w:lang w:val="en-US"/>
        </w:rPr>
        <w:t xml:space="preserve">in UL </w:t>
      </w:r>
      <w:r w:rsidR="005F70A3">
        <w:rPr>
          <w:rFonts w:ascii="Times New Roman" w:hAnsi="Times New Roman"/>
          <w:sz w:val="20"/>
          <w:szCs w:val="20"/>
          <w:lang w:val="en-US"/>
        </w:rPr>
        <w:t xml:space="preserve">can be </w:t>
      </w:r>
      <w:r w:rsidR="00FD614D">
        <w:rPr>
          <w:rFonts w:ascii="Times New Roman" w:hAnsi="Times New Roman"/>
          <w:sz w:val="20"/>
          <w:szCs w:val="20"/>
          <w:lang w:val="en-US"/>
        </w:rPr>
        <w:t xml:space="preserve">made </w:t>
      </w:r>
      <w:r w:rsidR="005F70A3">
        <w:rPr>
          <w:rFonts w:ascii="Times New Roman" w:hAnsi="Times New Roman"/>
          <w:sz w:val="20"/>
          <w:szCs w:val="20"/>
          <w:lang w:val="en-US"/>
        </w:rPr>
        <w:t>optionally applicable to dedicated PUR.</w:t>
      </w:r>
    </w:p>
    <w:p w14:paraId="490D9DCE" w14:textId="77777777" w:rsidR="00C319C0" w:rsidRDefault="00C319C0" w:rsidP="00C2625B">
      <w:pPr>
        <w:pStyle w:val="ListParagraph"/>
        <w:ind w:left="1134"/>
        <w:jc w:val="both"/>
        <w:rPr>
          <w:rFonts w:ascii="Times New Roman" w:hAnsi="Times New Roman"/>
          <w:sz w:val="20"/>
          <w:szCs w:val="20"/>
          <w:lang w:val="en-US"/>
        </w:rPr>
      </w:pPr>
    </w:p>
    <w:p w14:paraId="5630AA62" w14:textId="77D56E61" w:rsidR="00D640C2" w:rsidRPr="002C7CF1" w:rsidRDefault="00C319C0" w:rsidP="00C319C0">
      <w:pPr>
        <w:pStyle w:val="Observation"/>
        <w:ind w:left="1701" w:hanging="1701"/>
      </w:pPr>
      <w:bookmarkStart w:id="54" w:name="_Toc71635384"/>
      <w:r w:rsidRPr="00C319C0">
        <w:rPr>
          <w:lang w:val="en-US"/>
        </w:rPr>
        <w:t>16-QAM for PUR will only be suitable for Dedicated-PUR since Shared-PUR operates in a low-SNR region</w:t>
      </w:r>
      <w:r>
        <w:rPr>
          <w:lang w:val="en-US"/>
        </w:rPr>
        <w:t>.</w:t>
      </w:r>
      <w:bookmarkEnd w:id="54"/>
    </w:p>
    <w:p w14:paraId="51F870C1" w14:textId="45CB91B0" w:rsidR="002C7CF1" w:rsidRDefault="002C7CF1" w:rsidP="00C319C0">
      <w:pPr>
        <w:pStyle w:val="Observation"/>
        <w:ind w:left="1701" w:hanging="1701"/>
      </w:pPr>
      <w:bookmarkStart w:id="55" w:name="_Toc71635385"/>
      <w:r>
        <w:t>The radio conditions may drastically change from the time the UE gets the PUR configuration indicating the use of 16-QAM till the UE is in idle-mode an</w:t>
      </w:r>
      <w:r w:rsidR="003E60A6">
        <w:t>d</w:t>
      </w:r>
      <w:r>
        <w:t xml:space="preserve"> the PUR transmission opportunity arrives.</w:t>
      </w:r>
      <w:bookmarkEnd w:id="55"/>
    </w:p>
    <w:p w14:paraId="1C5F9606" w14:textId="07B8EE89" w:rsidR="002C7CF1" w:rsidRDefault="002C7CF1" w:rsidP="00C319C0">
      <w:pPr>
        <w:pStyle w:val="Observation"/>
        <w:ind w:left="1701" w:hanging="1701"/>
      </w:pPr>
      <w:bookmarkStart w:id="56" w:name="_Toc71635386"/>
      <w:r>
        <w:t xml:space="preserve">16-QAM for PUR seems to be only suitable if </w:t>
      </w:r>
      <w:r w:rsidRPr="002C7CF1">
        <w:t>there is some sort of knowledge at the eNodeB that</w:t>
      </w:r>
      <w:r>
        <w:t xml:space="preserve"> can guarantee the that conditions to use 16-QAM will remain suitable long-term (e.g., guaranteed stationary UEs close to the eNodeB).</w:t>
      </w:r>
      <w:r w:rsidRPr="002C7CF1">
        <w:t xml:space="preserve"> To leave the door open to those possible cases, it will be ok that 16-QAM can be optionally applicable to dedicated PUR</w:t>
      </w:r>
      <w:r>
        <w:t>.</w:t>
      </w:r>
      <w:bookmarkEnd w:id="56"/>
    </w:p>
    <w:p w14:paraId="5CA3C3D3" w14:textId="79FF299B" w:rsidR="00931D3D" w:rsidRPr="00C319C0" w:rsidRDefault="00931D3D" w:rsidP="00931D3D">
      <w:pPr>
        <w:pStyle w:val="Proposal"/>
      </w:pPr>
      <w:bookmarkStart w:id="57" w:name="_Toc71635418"/>
      <w:r>
        <w:t>16-QAM in UL support</w:t>
      </w:r>
      <w:r w:rsidR="004C4277">
        <w:t>s</w:t>
      </w:r>
      <w:r>
        <w:t xml:space="preserve"> Dedicated-PUR</w:t>
      </w:r>
      <w:r w:rsidR="004C4277">
        <w:t xml:space="preserve"> which can be enabled/disabled</w:t>
      </w:r>
      <w:r w:rsidR="007E7343">
        <w:t>.</w:t>
      </w:r>
      <w:bookmarkEnd w:id="57"/>
    </w:p>
    <w:p w14:paraId="055F5D41" w14:textId="77777777" w:rsidR="00C2625B" w:rsidRDefault="00C2625B" w:rsidP="00C2625B">
      <w:pPr>
        <w:pStyle w:val="ListParagraph"/>
        <w:ind w:left="1134"/>
        <w:jc w:val="both"/>
        <w:rPr>
          <w:rFonts w:ascii="Times New Roman" w:hAnsi="Times New Roman"/>
          <w:sz w:val="20"/>
          <w:szCs w:val="20"/>
        </w:rPr>
      </w:pPr>
    </w:p>
    <w:p w14:paraId="3A340B94" w14:textId="48E1BDB4" w:rsidR="00C2625B" w:rsidRPr="00931D3D" w:rsidRDefault="00C2625B" w:rsidP="00247762">
      <w:pPr>
        <w:pStyle w:val="ListParagraph"/>
        <w:numPr>
          <w:ilvl w:val="0"/>
          <w:numId w:val="31"/>
        </w:numPr>
        <w:ind w:left="1134" w:hanging="567"/>
        <w:jc w:val="both"/>
        <w:rPr>
          <w:rFonts w:ascii="Times New Roman" w:hAnsi="Times New Roman"/>
          <w:sz w:val="20"/>
          <w:szCs w:val="20"/>
        </w:rPr>
      </w:pPr>
      <w:r w:rsidRPr="59C2A3C1">
        <w:rPr>
          <w:rFonts w:ascii="Times New Roman" w:hAnsi="Times New Roman"/>
          <w:sz w:val="20"/>
          <w:szCs w:val="20"/>
          <w:lang w:val="en-US"/>
        </w:rPr>
        <w:t xml:space="preserve">Multi-TB grant: </w:t>
      </w:r>
      <w:r w:rsidR="00ED735C" w:rsidRPr="59C2A3C1">
        <w:rPr>
          <w:rFonts w:ascii="Times New Roman" w:hAnsi="Times New Roman"/>
          <w:sz w:val="20"/>
          <w:szCs w:val="20"/>
          <w:lang w:val="en-US"/>
        </w:rPr>
        <w:t>With multi-TB scheduling</w:t>
      </w:r>
      <w:r w:rsidR="00311754" w:rsidRPr="59C2A3C1">
        <w:rPr>
          <w:rFonts w:ascii="Times New Roman" w:hAnsi="Times New Roman"/>
          <w:sz w:val="20"/>
          <w:szCs w:val="20"/>
          <w:lang w:val="en-US"/>
        </w:rPr>
        <w:t xml:space="preserve"> </w:t>
      </w:r>
      <w:r w:rsidR="00B40DAB">
        <w:rPr>
          <w:rFonts w:ascii="Times New Roman" w:hAnsi="Times New Roman"/>
          <w:sz w:val="20"/>
          <w:szCs w:val="20"/>
          <w:lang w:val="en-US"/>
        </w:rPr>
        <w:t xml:space="preserve">(unicast) </w:t>
      </w:r>
      <w:r w:rsidR="00311754" w:rsidRPr="59C2A3C1">
        <w:rPr>
          <w:rFonts w:ascii="Times New Roman" w:hAnsi="Times New Roman"/>
          <w:sz w:val="20"/>
          <w:szCs w:val="20"/>
          <w:lang w:val="en-US"/>
        </w:rPr>
        <w:t xml:space="preserve">it is possible to </w:t>
      </w:r>
      <w:r w:rsidR="00ED735C" w:rsidRPr="59C2A3C1">
        <w:rPr>
          <w:rFonts w:ascii="Times New Roman" w:hAnsi="Times New Roman"/>
          <w:sz w:val="20"/>
          <w:szCs w:val="20"/>
          <w:lang w:val="en-US"/>
        </w:rPr>
        <w:t xml:space="preserve">schedule up to </w:t>
      </w:r>
      <w:r w:rsidR="003134BC" w:rsidRPr="59C2A3C1">
        <w:rPr>
          <w:rFonts w:ascii="Times New Roman" w:hAnsi="Times New Roman"/>
          <w:sz w:val="20"/>
          <w:szCs w:val="20"/>
          <w:lang w:val="en-US"/>
        </w:rPr>
        <w:t xml:space="preserve">2 </w:t>
      </w:r>
      <w:r w:rsidR="00ED735C" w:rsidRPr="59C2A3C1">
        <w:rPr>
          <w:rFonts w:ascii="Times New Roman" w:hAnsi="Times New Roman"/>
          <w:sz w:val="20"/>
          <w:szCs w:val="20"/>
          <w:lang w:val="en-US"/>
        </w:rPr>
        <w:t xml:space="preserve">TBs with a single DCI, and the peak rate is maximized by using HARQ-ACK bundling with bundle size </w:t>
      </w:r>
      <w:r w:rsidR="003134BC" w:rsidRPr="59C2A3C1">
        <w:rPr>
          <w:rFonts w:ascii="Times New Roman" w:hAnsi="Times New Roman"/>
          <w:sz w:val="20"/>
          <w:szCs w:val="20"/>
          <w:lang w:val="en-US"/>
        </w:rPr>
        <w:t>2</w:t>
      </w:r>
      <w:r w:rsidR="00311754" w:rsidRPr="59C2A3C1">
        <w:rPr>
          <w:rFonts w:ascii="Times New Roman" w:hAnsi="Times New Roman"/>
          <w:sz w:val="20"/>
          <w:szCs w:val="20"/>
          <w:lang w:val="en-US"/>
        </w:rPr>
        <w:t>. Applying 16-QAM to Multi-TB seems beneficial and the specification impact is foreseen to be minor (e.g., DCI update).</w:t>
      </w:r>
    </w:p>
    <w:p w14:paraId="5A72C83B" w14:textId="77777777" w:rsidR="00931D3D" w:rsidRPr="00E356C8" w:rsidRDefault="00931D3D" w:rsidP="00931D3D">
      <w:pPr>
        <w:pStyle w:val="ListParagraph"/>
        <w:ind w:left="1134"/>
        <w:jc w:val="both"/>
        <w:rPr>
          <w:rFonts w:ascii="Times New Roman" w:hAnsi="Times New Roman"/>
          <w:sz w:val="20"/>
          <w:szCs w:val="20"/>
        </w:rPr>
      </w:pPr>
    </w:p>
    <w:p w14:paraId="6479D5F2" w14:textId="4CEC22A8" w:rsidR="00311754" w:rsidRPr="00914520" w:rsidRDefault="00311754" w:rsidP="00D640C2">
      <w:pPr>
        <w:pStyle w:val="Proposal"/>
      </w:pPr>
      <w:bookmarkStart w:id="58" w:name="_Toc71635419"/>
      <w:r>
        <w:t>16-QAM in DL support</w:t>
      </w:r>
      <w:r w:rsidR="004C4277">
        <w:t xml:space="preserve">s </w:t>
      </w:r>
      <w:r>
        <w:t>multi-TB scheduling</w:t>
      </w:r>
      <w:r w:rsidR="004C4277">
        <w:t xml:space="preserve"> which can be enabled/disabled</w:t>
      </w:r>
      <w:r w:rsidR="007E7343">
        <w:t>.</w:t>
      </w:r>
      <w:bookmarkEnd w:id="58"/>
    </w:p>
    <w:p w14:paraId="238341EA" w14:textId="6A6B40F1" w:rsidR="00522A0D" w:rsidRPr="00CE0424" w:rsidRDefault="00D83DCE" w:rsidP="00522A0D">
      <w:pPr>
        <w:pStyle w:val="Heading1"/>
      </w:pPr>
      <w:r>
        <w:t>5</w:t>
      </w:r>
      <w:r w:rsidR="00522A0D">
        <w:tab/>
      </w:r>
      <w:r w:rsidR="00522A0D" w:rsidRPr="00CE0424">
        <w:t>Conclusion</w:t>
      </w:r>
    </w:p>
    <w:p w14:paraId="58D5E936" w14:textId="6725E855" w:rsidR="00921721" w:rsidRPr="00415FDF" w:rsidRDefault="008E065E" w:rsidP="008E065E">
      <w:pPr>
        <w:pStyle w:val="BodyText"/>
        <w:rPr>
          <w:rFonts w:ascii="Times New Roman" w:hAnsi="Times New Roman"/>
        </w:rPr>
      </w:pPr>
      <w:r w:rsidRPr="00415FDF">
        <w:rPr>
          <w:rFonts w:ascii="Times New Roman" w:hAnsi="Times New Roman"/>
        </w:rPr>
        <w:t xml:space="preserve">In </w:t>
      </w:r>
      <w:r w:rsidR="007729A2" w:rsidRPr="00415FDF">
        <w:rPr>
          <w:rFonts w:ascii="Times New Roman" w:hAnsi="Times New Roman"/>
        </w:rPr>
        <w:t xml:space="preserve">the previous </w:t>
      </w:r>
      <w:r w:rsidRPr="00415FDF">
        <w:rPr>
          <w:rFonts w:ascii="Times New Roman" w:hAnsi="Times New Roman"/>
        </w:rPr>
        <w:t>section</w:t>
      </w:r>
      <w:r w:rsidR="007729A2" w:rsidRPr="00415FDF">
        <w:rPr>
          <w:rFonts w:ascii="Times New Roman" w:hAnsi="Times New Roman"/>
        </w:rPr>
        <w:t>s</w:t>
      </w:r>
      <w:r w:rsidRPr="00415FDF">
        <w:rPr>
          <w:rFonts w:ascii="Times New Roman" w:hAnsi="Times New Roman"/>
        </w:rPr>
        <w:t xml:space="preserve"> we made the following observations</w:t>
      </w:r>
      <w:r w:rsidR="00DA55F5" w:rsidRPr="00415FDF">
        <w:rPr>
          <w:rFonts w:ascii="Times New Roman" w:hAnsi="Times New Roman"/>
        </w:rPr>
        <w:t xml:space="preserve"> for </w:t>
      </w:r>
      <w:r w:rsidR="00022FF1" w:rsidRPr="00415FDF">
        <w:rPr>
          <w:rFonts w:ascii="Times New Roman" w:hAnsi="Times New Roman"/>
        </w:rPr>
        <w:t>the support of 16-QAM for unicast in UL and DL for NB-IoT</w:t>
      </w:r>
      <w:r w:rsidRPr="00415FDF">
        <w:rPr>
          <w:rFonts w:ascii="Times New Roman" w:hAnsi="Times New Roman"/>
        </w:rPr>
        <w:t>:</w:t>
      </w:r>
    </w:p>
    <w:p w14:paraId="3C2F3264" w14:textId="77777777" w:rsidR="00BB65B3"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1635375" w:history="1">
        <w:r w:rsidR="00BB65B3" w:rsidRPr="009D0A60">
          <w:rPr>
            <w:rStyle w:val="Hyperlink"/>
            <w:noProof/>
            <w:lang w:val="en-US"/>
          </w:rPr>
          <w:t>Observation 1</w:t>
        </w:r>
        <w:r w:rsidR="00BB65B3">
          <w:rPr>
            <w:rFonts w:asciiTheme="minorHAnsi" w:eastAsiaTheme="minorEastAsia" w:hAnsiTheme="minorHAnsi" w:cstheme="minorBidi"/>
            <w:b w:val="0"/>
            <w:noProof/>
            <w:sz w:val="22"/>
            <w:szCs w:val="22"/>
            <w:lang w:val="sv-SE" w:eastAsia="sv-SE"/>
          </w:rPr>
          <w:tab/>
        </w:r>
        <w:r w:rsidR="00BB65B3" w:rsidRPr="009D0A60">
          <w:rPr>
            <w:rStyle w:val="Hyperlink"/>
            <w:noProof/>
            <w:lang w:val="en-US"/>
          </w:rPr>
          <w:t>The legacy CQI mapping table in TS 36.133 clause 9.1.22.15 currently uses 13 out of 16 entries, hence the three unused fields could be utilized to incorporate the channel quality reporting for 16-QAM in DL.</w:t>
        </w:r>
      </w:hyperlink>
    </w:p>
    <w:p w14:paraId="79ACFF7D" w14:textId="77777777" w:rsidR="00BB65B3" w:rsidRDefault="008E40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635376" w:history="1">
        <w:r w:rsidR="00BB65B3" w:rsidRPr="009D0A60">
          <w:rPr>
            <w:rStyle w:val="Hyperlink"/>
            <w:noProof/>
            <w:lang w:val="en-US"/>
          </w:rPr>
          <w:t>Observation 2</w:t>
        </w:r>
        <w:r w:rsidR="00BB65B3">
          <w:rPr>
            <w:rFonts w:asciiTheme="minorHAnsi" w:eastAsiaTheme="minorEastAsia" w:hAnsiTheme="minorHAnsi" w:cstheme="minorBidi"/>
            <w:b w:val="0"/>
            <w:noProof/>
            <w:sz w:val="22"/>
            <w:szCs w:val="22"/>
            <w:lang w:val="sv-SE" w:eastAsia="sv-SE"/>
          </w:rPr>
          <w:tab/>
        </w:r>
        <w:r w:rsidR="00BB65B3" w:rsidRPr="009D0A60">
          <w:rPr>
            <w:rStyle w:val="Hyperlink"/>
            <w:noProof/>
            <w:lang w:val="en-US"/>
          </w:rPr>
          <w:t>For the TBS/MCS table for DL, the step-size between I</w:t>
        </w:r>
        <w:r w:rsidR="00BB65B3" w:rsidRPr="009D0A60">
          <w:rPr>
            <w:rStyle w:val="Hyperlink"/>
            <w:noProof/>
            <w:vertAlign w:val="subscript"/>
            <w:lang w:val="en-US"/>
          </w:rPr>
          <w:t>TBS</w:t>
        </w:r>
        <w:r w:rsidR="00BB65B3" w:rsidRPr="009D0A60">
          <w:rPr>
            <w:rStyle w:val="Hyperlink"/>
            <w:noProof/>
            <w:lang w:val="en-US"/>
          </w:rPr>
          <w:t xml:space="preserve"> indices is in most cases smaller than 1dB, which is a level of granularity that might be unfeasible in terms of NRS. Today the channel quality reporting is specified for each repetition level 1, 2, 4, 8, …, which means that in legacy the step size is 3dB.</w:t>
        </w:r>
      </w:hyperlink>
    </w:p>
    <w:p w14:paraId="7CD26474" w14:textId="77777777" w:rsidR="00BB65B3" w:rsidRDefault="008E40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635377" w:history="1">
        <w:r w:rsidR="00BB65B3" w:rsidRPr="009D0A60">
          <w:rPr>
            <w:rStyle w:val="Hyperlink"/>
            <w:noProof/>
            <w:lang w:val="en-US"/>
          </w:rPr>
          <w:t>Observation 3</w:t>
        </w:r>
        <w:r w:rsidR="00BB65B3">
          <w:rPr>
            <w:rFonts w:asciiTheme="minorHAnsi" w:eastAsiaTheme="minorEastAsia" w:hAnsiTheme="minorHAnsi" w:cstheme="minorBidi"/>
            <w:b w:val="0"/>
            <w:noProof/>
            <w:sz w:val="22"/>
            <w:szCs w:val="22"/>
            <w:lang w:val="sv-SE" w:eastAsia="sv-SE"/>
          </w:rPr>
          <w:tab/>
        </w:r>
        <w:r w:rsidR="00BB65B3" w:rsidRPr="009D0A60">
          <w:rPr>
            <w:rStyle w:val="Hyperlink"/>
            <w:noProof/>
            <w:lang w:val="en-US"/>
          </w:rPr>
          <w:t>In Rel-17, the full range of I</w:t>
        </w:r>
        <w:r w:rsidR="00BB65B3" w:rsidRPr="009D0A60">
          <w:rPr>
            <w:rStyle w:val="Hyperlink"/>
            <w:noProof/>
            <w:vertAlign w:val="subscript"/>
            <w:lang w:val="en-US"/>
          </w:rPr>
          <w:t>TBS</w:t>
        </w:r>
        <w:r w:rsidR="00BB65B3" w:rsidRPr="009D0A60">
          <w:rPr>
            <w:rStyle w:val="Hyperlink"/>
            <w:noProof/>
            <w:lang w:val="en-US"/>
          </w:rPr>
          <w:t xml:space="preserve"> indices (14 to 21 and 11 to 17 depending on the deployment mode) can be covered using only three candidate reports (i.e., candidateRep-M, candidateRep-N, or candidateRep-O) as to have a feasible level of granularity with step-sizes larger than 1dB.</w:t>
        </w:r>
      </w:hyperlink>
    </w:p>
    <w:p w14:paraId="2E64B4B2" w14:textId="77777777" w:rsidR="00BB65B3" w:rsidRDefault="008E40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635378" w:history="1">
        <w:r w:rsidR="00BB65B3" w:rsidRPr="009D0A60">
          <w:rPr>
            <w:rStyle w:val="Hyperlink"/>
            <w:noProof/>
          </w:rPr>
          <w:t>Observation 4</w:t>
        </w:r>
        <w:r w:rsidR="00BB65B3">
          <w:rPr>
            <w:rFonts w:asciiTheme="minorHAnsi" w:eastAsiaTheme="minorEastAsia" w:hAnsiTheme="minorHAnsi" w:cstheme="minorBidi"/>
            <w:b w:val="0"/>
            <w:noProof/>
            <w:sz w:val="22"/>
            <w:szCs w:val="22"/>
            <w:lang w:val="sv-SE" w:eastAsia="sv-SE"/>
          </w:rPr>
          <w:tab/>
        </w:r>
        <w:r w:rsidR="00BB65B3" w:rsidRPr="009D0A60">
          <w:rPr>
            <w:rStyle w:val="Hyperlink"/>
            <w:noProof/>
          </w:rPr>
          <w:t xml:space="preserve">In relation to signal the “power ratio of NRS EPRE to CRS EPRE” it is important to be aware that </w:t>
        </w:r>
        <w:r w:rsidR="00BB65B3" w:rsidRPr="009D0A60">
          <w:rPr>
            <w:rStyle w:val="Hyperlink"/>
            <w:i/>
            <w:iCs/>
            <w:noProof/>
          </w:rPr>
          <w:t>1) For the different PCI case the CRS power is unknown for the UE</w:t>
        </w:r>
        <w:r w:rsidR="00BB65B3" w:rsidRPr="009D0A60">
          <w:rPr>
            <w:rStyle w:val="Hyperlink"/>
            <w:noProof/>
          </w:rPr>
          <w:t xml:space="preserve">, </w:t>
        </w:r>
        <w:r w:rsidR="00BB65B3" w:rsidRPr="009D0A60">
          <w:rPr>
            <w:rStyle w:val="Hyperlink"/>
            <w:noProof/>
          </w:rPr>
          <w:lastRenderedPageBreak/>
          <w:t xml:space="preserve">and </w:t>
        </w:r>
        <w:r w:rsidR="00BB65B3" w:rsidRPr="009D0A60">
          <w:rPr>
            <w:rStyle w:val="Hyperlink"/>
            <w:i/>
            <w:iCs/>
            <w:noProof/>
          </w:rPr>
          <w:t>2) For the same PCI case “nrs-CRS-PowerOffset” is not necessarily transmitted</w:t>
        </w:r>
        <w:r w:rsidR="00BB65B3" w:rsidRPr="009D0A60">
          <w:rPr>
            <w:rStyle w:val="Hyperlink"/>
            <w:noProof/>
          </w:rPr>
          <w:t>.</w:t>
        </w:r>
      </w:hyperlink>
    </w:p>
    <w:p w14:paraId="6874E28F" w14:textId="77777777" w:rsidR="00BB65B3" w:rsidRDefault="008E40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635379" w:history="1">
        <w:r w:rsidR="00BB65B3" w:rsidRPr="009D0A60">
          <w:rPr>
            <w:rStyle w:val="Hyperlink"/>
            <w:noProof/>
          </w:rPr>
          <w:t>Observation 5</w:t>
        </w:r>
        <w:r w:rsidR="00BB65B3">
          <w:rPr>
            <w:rFonts w:asciiTheme="minorHAnsi" w:eastAsiaTheme="minorEastAsia" w:hAnsiTheme="minorHAnsi" w:cstheme="minorBidi"/>
            <w:b w:val="0"/>
            <w:noProof/>
            <w:sz w:val="22"/>
            <w:szCs w:val="22"/>
            <w:lang w:val="sv-SE" w:eastAsia="sv-SE"/>
          </w:rPr>
          <w:tab/>
        </w:r>
        <w:r w:rsidR="00BB65B3" w:rsidRPr="009D0A60">
          <w:rPr>
            <w:rStyle w:val="Hyperlink"/>
            <w:noProof/>
          </w:rPr>
          <w:t>To overcome the lack of CRS power knowledge mentioned in Observation 4, it is more convenient to stay aligned with other deployment modes and with the agreement from RAN1# 103-e (“</w:t>
        </w:r>
        <w:r w:rsidR="00BB65B3" w:rsidRPr="009D0A60">
          <w:rPr>
            <w:rStyle w:val="Hyperlink"/>
            <w:i/>
            <w:iCs/>
            <w:noProof/>
          </w:rPr>
          <w:t>… signaling of power ratios of NPDSCH EPRE to NRS EPRE for the following cases is supported, … NPDSCH in symbols with CRS (only for “In-band” deployment</w:t>
        </w:r>
        <w:r w:rsidR="00BB65B3" w:rsidRPr="009D0A60">
          <w:rPr>
            <w:rStyle w:val="Hyperlink"/>
            <w:noProof/>
          </w:rPr>
          <w:t>)”) as to signal for the in-band deployment: “the power ratio NPDSCH EPRE to NRS EPRE in symbols with CRS”.</w:t>
        </w:r>
      </w:hyperlink>
    </w:p>
    <w:p w14:paraId="6724763E" w14:textId="77777777" w:rsidR="00BB65B3" w:rsidRDefault="008E40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635380" w:history="1">
        <w:r w:rsidR="00BB65B3" w:rsidRPr="009D0A60">
          <w:rPr>
            <w:rStyle w:val="Hyperlink"/>
            <w:noProof/>
          </w:rPr>
          <w:t>Observation 6</w:t>
        </w:r>
        <w:r w:rsidR="00BB65B3">
          <w:rPr>
            <w:rFonts w:asciiTheme="minorHAnsi" w:eastAsiaTheme="minorEastAsia" w:hAnsiTheme="minorHAnsi" w:cstheme="minorBidi"/>
            <w:b w:val="0"/>
            <w:noProof/>
            <w:sz w:val="22"/>
            <w:szCs w:val="22"/>
            <w:lang w:val="sv-SE" w:eastAsia="sv-SE"/>
          </w:rPr>
          <w:tab/>
        </w:r>
        <w:r w:rsidR="00BB65B3" w:rsidRPr="009D0A60">
          <w:rPr>
            <w:rStyle w:val="Hyperlink"/>
            <w:noProof/>
          </w:rPr>
          <w:t>In terms of signalling for the downlink power allocation, in LTE the data-to-pilot power ratios are associated to indices through a table: mapping indices vs power ratios (See e.g., Table 5.2-1 in TS 36.213).</w:t>
        </w:r>
      </w:hyperlink>
    </w:p>
    <w:p w14:paraId="7CD910BF" w14:textId="77777777" w:rsidR="00BB65B3" w:rsidRDefault="008E40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635381" w:history="1">
        <w:r w:rsidR="00BB65B3" w:rsidRPr="009D0A60">
          <w:rPr>
            <w:rStyle w:val="Hyperlink"/>
            <w:noProof/>
          </w:rPr>
          <w:t>Observation 7</w:t>
        </w:r>
        <w:r w:rsidR="00BB65B3">
          <w:rPr>
            <w:rFonts w:asciiTheme="minorHAnsi" w:eastAsiaTheme="minorEastAsia" w:hAnsiTheme="minorHAnsi" w:cstheme="minorBidi"/>
            <w:b w:val="0"/>
            <w:noProof/>
            <w:sz w:val="22"/>
            <w:szCs w:val="22"/>
            <w:lang w:val="sv-SE" w:eastAsia="sv-SE"/>
          </w:rPr>
          <w:tab/>
        </w:r>
        <w:r w:rsidR="00BB65B3" w:rsidRPr="009D0A60">
          <w:rPr>
            <w:rStyle w:val="Hyperlink"/>
            <w:noProof/>
          </w:rPr>
          <w:t>The downlink power allocation using the LTE approach (table mapping indices vs power ratios) allows to obtain higher layer signaling savings.</w:t>
        </w:r>
      </w:hyperlink>
    </w:p>
    <w:p w14:paraId="2E6462A1" w14:textId="77777777" w:rsidR="00BB65B3" w:rsidRDefault="008E40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635382" w:history="1">
        <w:r w:rsidR="00BB65B3" w:rsidRPr="009D0A60">
          <w:rPr>
            <w:rStyle w:val="Hyperlink"/>
            <w:noProof/>
          </w:rPr>
          <w:t>Observation 8</w:t>
        </w:r>
        <w:r w:rsidR="00BB65B3">
          <w:rPr>
            <w:rFonts w:asciiTheme="minorHAnsi" w:eastAsiaTheme="minorEastAsia" w:hAnsiTheme="minorHAnsi" w:cstheme="minorBidi"/>
            <w:b w:val="0"/>
            <w:noProof/>
            <w:sz w:val="22"/>
            <w:szCs w:val="22"/>
            <w:lang w:val="sv-SE" w:eastAsia="sv-SE"/>
          </w:rPr>
          <w:tab/>
        </w:r>
        <w:r w:rsidR="00BB65B3" w:rsidRPr="009D0A60">
          <w:rPr>
            <w:rStyle w:val="Hyperlink"/>
            <w:noProof/>
          </w:rPr>
          <w:t>Although re-using the LTE framework is a good design principle, if we consider that there might be mixed deployments modes of anchor and non-anchor carriers (e.g., anchor Guard-band and non-anchor In-band) the “Signaling Approach 1” is more suitable to deal with those scenarios than having to dependent on nrs-CRS.PowerOffset transmitted via SIB1-NB using "Cond inband-SamePCI-ExceptAnchor”.</w:t>
        </w:r>
      </w:hyperlink>
    </w:p>
    <w:p w14:paraId="5C287C0D" w14:textId="77777777" w:rsidR="00BB65B3" w:rsidRDefault="008E40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635383" w:history="1">
        <w:r w:rsidR="00BB65B3" w:rsidRPr="009D0A60">
          <w:rPr>
            <w:rStyle w:val="Hyperlink"/>
            <w:noProof/>
          </w:rPr>
          <w:t>Observation 9</w:t>
        </w:r>
        <w:r w:rsidR="00BB65B3">
          <w:rPr>
            <w:rFonts w:asciiTheme="minorHAnsi" w:eastAsiaTheme="minorEastAsia" w:hAnsiTheme="minorHAnsi" w:cstheme="minorBidi"/>
            <w:b w:val="0"/>
            <w:noProof/>
            <w:sz w:val="22"/>
            <w:szCs w:val="22"/>
            <w:lang w:val="sv-SE" w:eastAsia="sv-SE"/>
          </w:rPr>
          <w:tab/>
        </w:r>
        <w:r w:rsidR="00BB65B3" w:rsidRPr="009D0A60">
          <w:rPr>
            <w:rStyle w:val="Hyperlink"/>
            <w:noProof/>
          </w:rPr>
          <w:t>In LTE, the term Δ</w:t>
        </w:r>
        <w:r w:rsidR="00BB65B3" w:rsidRPr="009D0A60">
          <w:rPr>
            <w:rStyle w:val="Hyperlink"/>
            <w:noProof/>
            <w:vertAlign w:val="subscript"/>
          </w:rPr>
          <w:t>TF</w:t>
        </w:r>
        <w:r w:rsidR="00BB65B3" w:rsidRPr="009D0A60">
          <w:rPr>
            <w:rStyle w:val="Hyperlink"/>
            <w:noProof/>
          </w:rPr>
          <w:t xml:space="preserve"> in the power control equation increases the power when the number of bits per RE is increased by a higher order modulation scheme, a similar element can be incorporated into the NB-IoT’s equation for 16-QAM in UL.</w:t>
        </w:r>
      </w:hyperlink>
    </w:p>
    <w:p w14:paraId="182BD618" w14:textId="77777777" w:rsidR="00BB65B3" w:rsidRDefault="008E40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635384" w:history="1">
        <w:r w:rsidR="00BB65B3" w:rsidRPr="009D0A60">
          <w:rPr>
            <w:rStyle w:val="Hyperlink"/>
            <w:noProof/>
          </w:rPr>
          <w:t>Observation 10</w:t>
        </w:r>
        <w:r w:rsidR="00BB65B3">
          <w:rPr>
            <w:rFonts w:asciiTheme="minorHAnsi" w:eastAsiaTheme="minorEastAsia" w:hAnsiTheme="minorHAnsi" w:cstheme="minorBidi"/>
            <w:b w:val="0"/>
            <w:noProof/>
            <w:sz w:val="22"/>
            <w:szCs w:val="22"/>
            <w:lang w:val="sv-SE" w:eastAsia="sv-SE"/>
          </w:rPr>
          <w:tab/>
        </w:r>
        <w:r w:rsidR="00BB65B3" w:rsidRPr="009D0A60">
          <w:rPr>
            <w:rStyle w:val="Hyperlink"/>
            <w:noProof/>
            <w:lang w:val="en-US"/>
          </w:rPr>
          <w:t>16-QAM for PUR will only be suitable for Dedicated-PUR since Shared-PUR operates in a low-SNR region.</w:t>
        </w:r>
      </w:hyperlink>
    </w:p>
    <w:p w14:paraId="64C10240" w14:textId="77777777" w:rsidR="00BB65B3" w:rsidRDefault="008E40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635385" w:history="1">
        <w:r w:rsidR="00BB65B3" w:rsidRPr="009D0A60">
          <w:rPr>
            <w:rStyle w:val="Hyperlink"/>
            <w:noProof/>
          </w:rPr>
          <w:t>Observation 11</w:t>
        </w:r>
        <w:r w:rsidR="00BB65B3">
          <w:rPr>
            <w:rFonts w:asciiTheme="minorHAnsi" w:eastAsiaTheme="minorEastAsia" w:hAnsiTheme="minorHAnsi" w:cstheme="minorBidi"/>
            <w:b w:val="0"/>
            <w:noProof/>
            <w:sz w:val="22"/>
            <w:szCs w:val="22"/>
            <w:lang w:val="sv-SE" w:eastAsia="sv-SE"/>
          </w:rPr>
          <w:tab/>
        </w:r>
        <w:r w:rsidR="00BB65B3" w:rsidRPr="009D0A60">
          <w:rPr>
            <w:rStyle w:val="Hyperlink"/>
            <w:noProof/>
          </w:rPr>
          <w:t>The radio conditions may drastically change from the time the UE gets the PUR configuration indicating the use of 16-QAM till the UE is in idle-mode and the PUR transmission opportunity arrives.</w:t>
        </w:r>
      </w:hyperlink>
    </w:p>
    <w:p w14:paraId="5B803F8B" w14:textId="77777777" w:rsidR="00BB65B3" w:rsidRDefault="008E40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635386" w:history="1">
        <w:r w:rsidR="00BB65B3" w:rsidRPr="009D0A60">
          <w:rPr>
            <w:rStyle w:val="Hyperlink"/>
            <w:noProof/>
          </w:rPr>
          <w:t>Observation 12</w:t>
        </w:r>
        <w:r w:rsidR="00BB65B3">
          <w:rPr>
            <w:rFonts w:asciiTheme="minorHAnsi" w:eastAsiaTheme="minorEastAsia" w:hAnsiTheme="minorHAnsi" w:cstheme="minorBidi"/>
            <w:b w:val="0"/>
            <w:noProof/>
            <w:sz w:val="22"/>
            <w:szCs w:val="22"/>
            <w:lang w:val="sv-SE" w:eastAsia="sv-SE"/>
          </w:rPr>
          <w:tab/>
        </w:r>
        <w:r w:rsidR="00BB65B3" w:rsidRPr="009D0A60">
          <w:rPr>
            <w:rStyle w:val="Hyperlink"/>
            <w:noProof/>
          </w:rPr>
          <w:t>16-QAM for PUR seems to be only suitable if there is some sort of knowledge at the eNodeB that can guarantee the that conditions to use 16-QAM will remain suitable long-term (e.g., guaranteed stationary UEs close to the eNodeB). To leave the door open to those possible cases, it will be ok that 16-QAM can be optionally applicable to dedicated PUR.</w:t>
        </w:r>
      </w:hyperlink>
    </w:p>
    <w:p w14:paraId="6F3FBB3A" w14:textId="62129FB8" w:rsidR="006E1C82" w:rsidRPr="00136A93" w:rsidRDefault="006F6582" w:rsidP="008E065E">
      <w:pPr>
        <w:pStyle w:val="BodyText"/>
      </w:pPr>
      <w:r>
        <w:rPr>
          <w:b/>
          <w:bCs/>
        </w:rPr>
        <w:fldChar w:fldCharType="end"/>
      </w:r>
      <w:r w:rsidR="00901E6B" w:rsidRPr="00901E6B">
        <w:t xml:space="preserve"> </w:t>
      </w:r>
    </w:p>
    <w:p w14:paraId="7AFEA5AA" w14:textId="2335D1AC" w:rsidR="006E1C82" w:rsidRDefault="008E065E" w:rsidP="006E1C82">
      <w:pPr>
        <w:pStyle w:val="BodyText"/>
        <w:rPr>
          <w:rFonts w:ascii="Times New Roman" w:hAnsi="Times New Roman"/>
        </w:rPr>
      </w:pPr>
      <w:r w:rsidRPr="00415FDF">
        <w:rPr>
          <w:rFonts w:ascii="Times New Roman" w:hAnsi="Times New Roman"/>
        </w:rPr>
        <w:t xml:space="preserve">Based on the discussion in </w:t>
      </w:r>
      <w:r w:rsidR="007729A2" w:rsidRPr="00415FDF">
        <w:rPr>
          <w:rFonts w:ascii="Times New Roman" w:hAnsi="Times New Roman"/>
        </w:rPr>
        <w:t xml:space="preserve">the previous </w:t>
      </w:r>
      <w:r w:rsidRPr="00415FDF">
        <w:rPr>
          <w:rFonts w:ascii="Times New Roman" w:hAnsi="Times New Roman"/>
        </w:rPr>
        <w:t>section</w:t>
      </w:r>
      <w:r w:rsidR="007729A2" w:rsidRPr="00415FDF">
        <w:rPr>
          <w:rFonts w:ascii="Times New Roman" w:hAnsi="Times New Roman"/>
        </w:rPr>
        <w:t>s</w:t>
      </w:r>
      <w:r w:rsidRPr="00415FDF">
        <w:rPr>
          <w:rFonts w:ascii="Times New Roman" w:hAnsi="Times New Roman"/>
        </w:rPr>
        <w:t xml:space="preserve"> we propose the following:</w:t>
      </w:r>
    </w:p>
    <w:p w14:paraId="62B96B01" w14:textId="77777777" w:rsidR="00431A33" w:rsidRPr="00415FDF" w:rsidRDefault="00431A33" w:rsidP="006E1C82">
      <w:pPr>
        <w:pStyle w:val="BodyText"/>
        <w:rPr>
          <w:rFonts w:ascii="Times New Roman" w:hAnsi="Times New Roman"/>
        </w:rPr>
      </w:pPr>
    </w:p>
    <w:p w14:paraId="0176106A" w14:textId="77777777" w:rsidR="00BB65B3"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635387" w:history="1">
        <w:r w:rsidR="00BB65B3" w:rsidRPr="0033085A">
          <w:rPr>
            <w:rStyle w:val="Hyperlink"/>
            <w:noProof/>
          </w:rPr>
          <w:t>Proposal 1</w:t>
        </w:r>
        <w:r w:rsidR="00BB65B3">
          <w:rPr>
            <w:rFonts w:asciiTheme="minorHAnsi" w:eastAsiaTheme="minorEastAsia" w:hAnsiTheme="minorHAnsi" w:cstheme="minorBidi"/>
            <w:b w:val="0"/>
            <w:noProof/>
            <w:sz w:val="22"/>
            <w:szCs w:val="22"/>
            <w:lang w:val="sv-SE" w:eastAsia="sv-SE"/>
          </w:rPr>
          <w:tab/>
        </w:r>
        <w:r w:rsidR="00BB65B3" w:rsidRPr="0033085A">
          <w:rPr>
            <w:rStyle w:val="Hyperlink"/>
            <w:noProof/>
          </w:rPr>
          <w:t>For the support of 16-QAM in downlink, the DCI design is based on:</w:t>
        </w:r>
      </w:hyperlink>
    </w:p>
    <w:p w14:paraId="29605F18" w14:textId="77777777" w:rsidR="00BB65B3" w:rsidRDefault="008E407C" w:rsidP="00BB65B3">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71635388" w:history="1">
        <w:r w:rsidR="00BB65B3" w:rsidRPr="0033085A">
          <w:rPr>
            <w:rStyle w:val="Hyperlink"/>
            <w:noProof/>
          </w:rPr>
          <w:t>Option 3: MCS field is 4 bits to indicate modulation and TBS</w:t>
        </w:r>
      </w:hyperlink>
    </w:p>
    <w:p w14:paraId="712CD21D" w14:textId="77777777" w:rsidR="00BB65B3" w:rsidRDefault="008E407C" w:rsidP="00BB65B3">
      <w:pPr>
        <w:pStyle w:val="TableofFigures"/>
        <w:tabs>
          <w:tab w:val="right" w:leader="dot" w:pos="9629"/>
        </w:tabs>
        <w:ind w:left="2127" w:hanging="426"/>
        <w:rPr>
          <w:rFonts w:asciiTheme="minorHAnsi" w:eastAsiaTheme="minorEastAsia" w:hAnsiTheme="minorHAnsi" w:cstheme="minorBidi"/>
          <w:b w:val="0"/>
          <w:noProof/>
          <w:sz w:val="22"/>
          <w:szCs w:val="22"/>
          <w:lang w:val="sv-SE" w:eastAsia="sv-SE"/>
        </w:rPr>
      </w:pPr>
      <w:hyperlink w:anchor="_Toc71635389" w:history="1">
        <w:r w:rsidR="00BB65B3" w:rsidRPr="0033085A">
          <w:rPr>
            <w:rStyle w:val="Hyperlink"/>
            <w:noProof/>
          </w:rPr>
          <w:t>o</w:t>
        </w:r>
        <w:r w:rsidR="00BB65B3">
          <w:rPr>
            <w:rFonts w:asciiTheme="minorHAnsi" w:eastAsiaTheme="minorEastAsia" w:hAnsiTheme="minorHAnsi" w:cstheme="minorBidi"/>
            <w:b w:val="0"/>
            <w:noProof/>
            <w:sz w:val="22"/>
            <w:szCs w:val="22"/>
            <w:lang w:val="sv-SE" w:eastAsia="sv-SE"/>
          </w:rPr>
          <w:tab/>
        </w:r>
        <w:r w:rsidR="00BB65B3" w:rsidRPr="0033085A">
          <w:rPr>
            <w:rStyle w:val="Hyperlink"/>
            <w:noProof/>
          </w:rPr>
          <w:t>A reserved state of MCS field indicates the use of 16QAM,</w:t>
        </w:r>
      </w:hyperlink>
    </w:p>
    <w:p w14:paraId="5F85A94B" w14:textId="77777777" w:rsidR="00BB65B3" w:rsidRDefault="008E407C" w:rsidP="00BB65B3">
      <w:pPr>
        <w:pStyle w:val="TableofFigures"/>
        <w:tabs>
          <w:tab w:val="right" w:leader="dot" w:pos="9629"/>
        </w:tabs>
        <w:ind w:left="2127" w:hanging="426"/>
        <w:rPr>
          <w:rFonts w:asciiTheme="minorHAnsi" w:eastAsiaTheme="minorEastAsia" w:hAnsiTheme="minorHAnsi" w:cstheme="minorBidi"/>
          <w:b w:val="0"/>
          <w:noProof/>
          <w:sz w:val="22"/>
          <w:szCs w:val="22"/>
          <w:lang w:val="sv-SE" w:eastAsia="sv-SE"/>
        </w:rPr>
      </w:pPr>
      <w:hyperlink w:anchor="_Toc71635390" w:history="1">
        <w:r w:rsidR="00BB65B3" w:rsidRPr="0033085A">
          <w:rPr>
            <w:rStyle w:val="Hyperlink"/>
            <w:noProof/>
          </w:rPr>
          <w:t>o</w:t>
        </w:r>
        <w:r w:rsidR="00BB65B3">
          <w:rPr>
            <w:rFonts w:asciiTheme="minorHAnsi" w:eastAsiaTheme="minorEastAsia" w:hAnsiTheme="minorHAnsi" w:cstheme="minorBidi"/>
            <w:b w:val="0"/>
            <w:noProof/>
            <w:sz w:val="22"/>
            <w:szCs w:val="22"/>
            <w:lang w:val="sv-SE" w:eastAsia="sv-SE"/>
          </w:rPr>
          <w:tab/>
        </w:r>
        <w:r w:rsidR="00BB65B3" w:rsidRPr="0033085A">
          <w:rPr>
            <w:rStyle w:val="Hyperlink"/>
            <w:noProof/>
          </w:rPr>
          <w:t>Repetition field indicates 16QAM MCS if 16QAM is indicated to be used.</w:t>
        </w:r>
      </w:hyperlink>
    </w:p>
    <w:p w14:paraId="25BC8321" w14:textId="77777777" w:rsidR="00BB65B3" w:rsidRDefault="008E40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635391" w:history="1">
        <w:r w:rsidR="00BB65B3" w:rsidRPr="0033085A">
          <w:rPr>
            <w:rStyle w:val="Hyperlink"/>
            <w:noProof/>
          </w:rPr>
          <w:t>Proposal 2</w:t>
        </w:r>
        <w:r w:rsidR="00BB65B3">
          <w:rPr>
            <w:rFonts w:asciiTheme="minorHAnsi" w:eastAsiaTheme="minorEastAsia" w:hAnsiTheme="minorHAnsi" w:cstheme="minorBidi"/>
            <w:b w:val="0"/>
            <w:noProof/>
            <w:sz w:val="22"/>
            <w:szCs w:val="22"/>
            <w:lang w:val="sv-SE" w:eastAsia="sv-SE"/>
          </w:rPr>
          <w:tab/>
        </w:r>
        <w:r w:rsidR="00BB65B3" w:rsidRPr="0033085A">
          <w:rPr>
            <w:rStyle w:val="Hyperlink"/>
            <w:noProof/>
          </w:rPr>
          <w:t>In DCI format N1:</w:t>
        </w:r>
      </w:hyperlink>
    </w:p>
    <w:p w14:paraId="4BFF5D82" w14:textId="77777777" w:rsidR="00BB65B3" w:rsidRDefault="008E407C" w:rsidP="00BB65B3">
      <w:pPr>
        <w:pStyle w:val="TableofFigures"/>
        <w:tabs>
          <w:tab w:val="right" w:leader="dot" w:pos="9629"/>
        </w:tabs>
        <w:ind w:left="2127" w:hanging="426"/>
        <w:rPr>
          <w:rFonts w:asciiTheme="minorHAnsi" w:eastAsiaTheme="minorEastAsia" w:hAnsiTheme="minorHAnsi" w:cstheme="minorBidi"/>
          <w:b w:val="0"/>
          <w:noProof/>
          <w:sz w:val="22"/>
          <w:szCs w:val="22"/>
          <w:lang w:val="sv-SE" w:eastAsia="sv-SE"/>
        </w:rPr>
      </w:pPr>
      <w:hyperlink w:anchor="_Toc71635392" w:history="1">
        <w:r w:rsidR="00BB65B3" w:rsidRPr="0033085A">
          <w:rPr>
            <w:rStyle w:val="Hyperlink"/>
            <w:rFonts w:ascii="Wingdings" w:hAnsi="Wingdings"/>
            <w:noProof/>
          </w:rPr>
          <w:t></w:t>
        </w:r>
        <w:r w:rsidR="00BB65B3">
          <w:rPr>
            <w:rFonts w:asciiTheme="minorHAnsi" w:eastAsiaTheme="minorEastAsia" w:hAnsiTheme="minorHAnsi" w:cstheme="minorBidi"/>
            <w:b w:val="0"/>
            <w:noProof/>
            <w:sz w:val="22"/>
            <w:szCs w:val="22"/>
            <w:lang w:val="sv-SE" w:eastAsia="sv-SE"/>
          </w:rPr>
          <w:tab/>
        </w:r>
        <w:r w:rsidR="00BB65B3" w:rsidRPr="0033085A">
          <w:rPr>
            <w:rStyle w:val="Hyperlink"/>
            <w:noProof/>
          </w:rPr>
          <w:t>In the “</w:t>
        </w:r>
        <w:r w:rsidR="00BB65B3" w:rsidRPr="0033085A">
          <w:rPr>
            <w:rStyle w:val="Hyperlink"/>
            <w:i/>
            <w:iCs/>
            <w:noProof/>
          </w:rPr>
          <w:t>Modulation and coding scheme</w:t>
        </w:r>
        <w:r w:rsidR="00BB65B3" w:rsidRPr="0033085A">
          <w:rPr>
            <w:rStyle w:val="Hyperlink"/>
            <w:noProof/>
          </w:rPr>
          <w:t>” field, one of the two available reserved states (i.e., “1110” or “1111”) is used to indicate the use of 16-QAM in DL.</w:t>
        </w:r>
      </w:hyperlink>
    </w:p>
    <w:p w14:paraId="1EB319DF" w14:textId="77777777" w:rsidR="00BB65B3" w:rsidRDefault="008E407C" w:rsidP="00BB65B3">
      <w:pPr>
        <w:pStyle w:val="TableofFigures"/>
        <w:tabs>
          <w:tab w:val="right" w:leader="dot" w:pos="9629"/>
        </w:tabs>
        <w:ind w:left="2127" w:hanging="426"/>
        <w:rPr>
          <w:rFonts w:asciiTheme="minorHAnsi" w:eastAsiaTheme="minorEastAsia" w:hAnsiTheme="minorHAnsi" w:cstheme="minorBidi"/>
          <w:b w:val="0"/>
          <w:noProof/>
          <w:sz w:val="22"/>
          <w:szCs w:val="22"/>
          <w:lang w:val="sv-SE" w:eastAsia="sv-SE"/>
        </w:rPr>
      </w:pPr>
      <w:hyperlink w:anchor="_Toc71635393" w:history="1">
        <w:r w:rsidR="00BB65B3" w:rsidRPr="0033085A">
          <w:rPr>
            <w:rStyle w:val="Hyperlink"/>
            <w:rFonts w:ascii="Wingdings" w:hAnsi="Wingdings"/>
            <w:noProof/>
          </w:rPr>
          <w:t></w:t>
        </w:r>
        <w:r w:rsidR="00BB65B3">
          <w:rPr>
            <w:rFonts w:asciiTheme="minorHAnsi" w:eastAsiaTheme="minorEastAsia" w:hAnsiTheme="minorHAnsi" w:cstheme="minorBidi"/>
            <w:b w:val="0"/>
            <w:noProof/>
            <w:sz w:val="22"/>
            <w:szCs w:val="22"/>
            <w:lang w:val="sv-SE" w:eastAsia="sv-SE"/>
          </w:rPr>
          <w:tab/>
        </w:r>
        <w:r w:rsidR="00BB65B3" w:rsidRPr="0033085A">
          <w:rPr>
            <w:rStyle w:val="Hyperlink"/>
            <w:noProof/>
          </w:rPr>
          <w:t>If the use of 16-QAM in DL has been indicated, in the “</w:t>
        </w:r>
        <w:r w:rsidR="00BB65B3" w:rsidRPr="0033085A">
          <w:rPr>
            <w:rStyle w:val="Hyperlink"/>
            <w:i/>
            <w:iCs/>
            <w:noProof/>
          </w:rPr>
          <w:t>Repetition number</w:t>
        </w:r>
        <w:r w:rsidR="00BB65B3" w:rsidRPr="0033085A">
          <w:rPr>
            <w:rStyle w:val="Hyperlink"/>
            <w:noProof/>
          </w:rPr>
          <w:t>” field, 3 bits are used to indicate the I</w:t>
        </w:r>
        <w:r w:rsidR="00BB65B3" w:rsidRPr="0033085A">
          <w:rPr>
            <w:rStyle w:val="Hyperlink"/>
            <w:noProof/>
            <w:vertAlign w:val="subscript"/>
          </w:rPr>
          <w:t>TBS</w:t>
        </w:r>
        <w:r w:rsidR="00BB65B3" w:rsidRPr="0033085A">
          <w:rPr>
            <w:rStyle w:val="Hyperlink"/>
            <w:noProof/>
          </w:rPr>
          <w:t xml:space="preserve"> indices for 16-QAM in DL as follows:</w:t>
        </w:r>
      </w:hyperlink>
    </w:p>
    <w:p w14:paraId="57F44B17" w14:textId="77777777" w:rsidR="00BB65B3" w:rsidRDefault="008E407C" w:rsidP="00BB65B3">
      <w:pPr>
        <w:pStyle w:val="TableofFigures"/>
        <w:tabs>
          <w:tab w:val="right" w:leader="dot" w:pos="9629"/>
        </w:tabs>
        <w:ind w:left="2552" w:hanging="425"/>
        <w:rPr>
          <w:rFonts w:asciiTheme="minorHAnsi" w:eastAsiaTheme="minorEastAsia" w:hAnsiTheme="minorHAnsi" w:cstheme="minorBidi"/>
          <w:b w:val="0"/>
          <w:noProof/>
          <w:sz w:val="22"/>
          <w:szCs w:val="22"/>
          <w:lang w:val="sv-SE" w:eastAsia="sv-SE"/>
        </w:rPr>
      </w:pPr>
      <w:hyperlink w:anchor="_Toc71635394" w:history="1">
        <w:r w:rsidR="00BB65B3" w:rsidRPr="0033085A">
          <w:rPr>
            <w:rStyle w:val="Hyperlink"/>
            <w:rFonts w:ascii="Times" w:eastAsia="Batang" w:hAnsi="Times" w:cs="Times"/>
            <w:noProof/>
          </w:rPr>
          <w:t>-</w:t>
        </w:r>
        <w:r w:rsidR="00BB65B3">
          <w:rPr>
            <w:rFonts w:asciiTheme="minorHAnsi" w:eastAsiaTheme="minorEastAsia" w:hAnsiTheme="minorHAnsi" w:cstheme="minorBidi"/>
            <w:b w:val="0"/>
            <w:noProof/>
            <w:sz w:val="22"/>
            <w:szCs w:val="22"/>
            <w:lang w:val="sv-SE" w:eastAsia="sv-SE"/>
          </w:rPr>
          <w:tab/>
        </w:r>
        <w:r w:rsidR="00BB65B3" w:rsidRPr="0033085A">
          <w:rPr>
            <w:rStyle w:val="Hyperlink"/>
            <w:noProof/>
          </w:rPr>
          <w:t>If the information “</w:t>
        </w:r>
        <w:r w:rsidR="00BB65B3" w:rsidRPr="0033085A">
          <w:rPr>
            <w:rStyle w:val="Hyperlink"/>
            <w:i/>
            <w:iCs/>
            <w:noProof/>
          </w:rPr>
          <w:t>in MIB-NB mapped to NPBCH</w:t>
        </w:r>
        <w:r w:rsidR="00BB65B3" w:rsidRPr="0033085A">
          <w:rPr>
            <w:rStyle w:val="Hyperlink"/>
            <w:noProof/>
          </w:rPr>
          <w:t xml:space="preserve"> </w:t>
        </w:r>
        <w:r w:rsidR="00BB65B3" w:rsidRPr="0033085A">
          <w:rPr>
            <w:rStyle w:val="Hyperlink"/>
            <w:i/>
            <w:iCs/>
            <w:noProof/>
          </w:rPr>
          <w:t xml:space="preserve">for anchor carriers” </w:t>
        </w:r>
        <w:r w:rsidR="00BB65B3" w:rsidRPr="0033085A">
          <w:rPr>
            <w:rStyle w:val="Hyperlink"/>
            <w:noProof/>
          </w:rPr>
          <w:t>or</w:t>
        </w:r>
        <w:r w:rsidR="00BB65B3" w:rsidRPr="0033085A">
          <w:rPr>
            <w:rStyle w:val="Hyperlink"/>
            <w:i/>
            <w:iCs/>
            <w:noProof/>
          </w:rPr>
          <w:t xml:space="preserve"> “in DL-CarrierConfigDedicated-NB/SIB22-NB for non-anchor carriers</w:t>
        </w:r>
        <w:r w:rsidR="00BB65B3" w:rsidRPr="0033085A">
          <w:rPr>
            <w:rStyle w:val="Hyperlink"/>
            <w:noProof/>
          </w:rPr>
          <w:t>” indicates “</w:t>
        </w:r>
        <w:r w:rsidR="00BB65B3" w:rsidRPr="0033085A">
          <w:rPr>
            <w:rStyle w:val="Hyperlink"/>
            <w:i/>
            <w:iCs/>
            <w:noProof/>
          </w:rPr>
          <w:t>stand-alone or guard-band deployment</w:t>
        </w:r>
        <w:r w:rsidR="00BB65B3" w:rsidRPr="0033085A">
          <w:rPr>
            <w:rStyle w:val="Hyperlink"/>
            <w:noProof/>
          </w:rPr>
          <w:t>” then the 3-bits refer to I_TBS indices spanning from index 14 to 21.</w:t>
        </w:r>
      </w:hyperlink>
    </w:p>
    <w:p w14:paraId="51F18B58" w14:textId="77777777" w:rsidR="00BB65B3" w:rsidRDefault="008E407C" w:rsidP="00BB65B3">
      <w:pPr>
        <w:pStyle w:val="TableofFigures"/>
        <w:tabs>
          <w:tab w:val="right" w:leader="dot" w:pos="9629"/>
        </w:tabs>
        <w:ind w:left="2552" w:hanging="425"/>
        <w:rPr>
          <w:rFonts w:asciiTheme="minorHAnsi" w:eastAsiaTheme="minorEastAsia" w:hAnsiTheme="minorHAnsi" w:cstheme="minorBidi"/>
          <w:b w:val="0"/>
          <w:noProof/>
          <w:sz w:val="22"/>
          <w:szCs w:val="22"/>
          <w:lang w:val="sv-SE" w:eastAsia="sv-SE"/>
        </w:rPr>
      </w:pPr>
      <w:hyperlink w:anchor="_Toc71635395" w:history="1">
        <w:r w:rsidR="00BB65B3" w:rsidRPr="0033085A">
          <w:rPr>
            <w:rStyle w:val="Hyperlink"/>
            <w:rFonts w:ascii="Times" w:eastAsia="Batang" w:hAnsi="Times" w:cs="Times"/>
            <w:noProof/>
          </w:rPr>
          <w:t>-</w:t>
        </w:r>
        <w:r w:rsidR="00BB65B3">
          <w:rPr>
            <w:rFonts w:asciiTheme="minorHAnsi" w:eastAsiaTheme="minorEastAsia" w:hAnsiTheme="minorHAnsi" w:cstheme="minorBidi"/>
            <w:b w:val="0"/>
            <w:noProof/>
            <w:sz w:val="22"/>
            <w:szCs w:val="22"/>
            <w:lang w:val="sv-SE" w:eastAsia="sv-SE"/>
          </w:rPr>
          <w:tab/>
        </w:r>
        <w:r w:rsidR="00BB65B3" w:rsidRPr="0033085A">
          <w:rPr>
            <w:rStyle w:val="Hyperlink"/>
            <w:noProof/>
          </w:rPr>
          <w:t>If the information “</w:t>
        </w:r>
        <w:r w:rsidR="00BB65B3" w:rsidRPr="0033085A">
          <w:rPr>
            <w:rStyle w:val="Hyperlink"/>
            <w:i/>
            <w:iCs/>
            <w:noProof/>
          </w:rPr>
          <w:t xml:space="preserve">in MIB-NB mapped to NPBCH for anchor carriers” </w:t>
        </w:r>
        <w:r w:rsidR="00BB65B3" w:rsidRPr="0033085A">
          <w:rPr>
            <w:rStyle w:val="Hyperlink"/>
            <w:noProof/>
          </w:rPr>
          <w:t>or</w:t>
        </w:r>
        <w:r w:rsidR="00BB65B3" w:rsidRPr="0033085A">
          <w:rPr>
            <w:rStyle w:val="Hyperlink"/>
            <w:i/>
            <w:iCs/>
            <w:noProof/>
          </w:rPr>
          <w:t xml:space="preserve"> “in DL-CarrierConfigDedicated-NB/SIB22-NB for non-anchor carriers</w:t>
        </w:r>
        <w:r w:rsidR="00BB65B3" w:rsidRPr="0033085A">
          <w:rPr>
            <w:rStyle w:val="Hyperlink"/>
            <w:noProof/>
          </w:rPr>
          <w:t xml:space="preserve">” </w:t>
        </w:r>
        <w:r w:rsidR="00BB65B3" w:rsidRPr="0033085A">
          <w:rPr>
            <w:rStyle w:val="Hyperlink"/>
            <w:noProof/>
          </w:rPr>
          <w:lastRenderedPageBreak/>
          <w:t>indicates “</w:t>
        </w:r>
        <w:r w:rsidR="00BB65B3" w:rsidRPr="0033085A">
          <w:rPr>
            <w:rStyle w:val="Hyperlink"/>
            <w:i/>
            <w:iCs/>
            <w:noProof/>
          </w:rPr>
          <w:t>in-band deployment</w:t>
        </w:r>
        <w:r w:rsidR="00BB65B3" w:rsidRPr="0033085A">
          <w:rPr>
            <w:rStyle w:val="Hyperlink"/>
            <w:noProof/>
          </w:rPr>
          <w:t>” then the 3-bits refer to I_TBS indices spanning from index 11 to 17.</w:t>
        </w:r>
      </w:hyperlink>
    </w:p>
    <w:p w14:paraId="3A7B8E94" w14:textId="77777777" w:rsidR="00BB65B3" w:rsidRDefault="008E40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635396" w:history="1">
        <w:r w:rsidR="00BB65B3" w:rsidRPr="0033085A">
          <w:rPr>
            <w:rStyle w:val="Hyperlink"/>
            <w:noProof/>
          </w:rPr>
          <w:t>Proposal 3</w:t>
        </w:r>
        <w:r w:rsidR="00BB65B3">
          <w:rPr>
            <w:rFonts w:asciiTheme="minorHAnsi" w:eastAsiaTheme="minorEastAsia" w:hAnsiTheme="minorHAnsi" w:cstheme="minorBidi"/>
            <w:b w:val="0"/>
            <w:noProof/>
            <w:sz w:val="22"/>
            <w:szCs w:val="22"/>
            <w:lang w:val="sv-SE" w:eastAsia="sv-SE"/>
          </w:rPr>
          <w:tab/>
        </w:r>
        <w:r w:rsidR="00BB65B3" w:rsidRPr="0033085A">
          <w:rPr>
            <w:rStyle w:val="Hyperlink"/>
            <w:noProof/>
          </w:rPr>
          <w:t>Confirm the Working Assumption on “</w:t>
        </w:r>
        <w:r w:rsidR="00BB65B3" w:rsidRPr="0033085A">
          <w:rPr>
            <w:rStyle w:val="Hyperlink"/>
            <w:i/>
            <w:iCs/>
            <w:noProof/>
          </w:rPr>
          <w:t>The DCI size is not increased to support 16-QAM in uplink and downlink</w:t>
        </w:r>
        <w:r w:rsidR="00BB65B3" w:rsidRPr="0033085A">
          <w:rPr>
            <w:rStyle w:val="Hyperlink"/>
            <w:noProof/>
          </w:rPr>
          <w:t>”.</w:t>
        </w:r>
      </w:hyperlink>
    </w:p>
    <w:p w14:paraId="311994EA" w14:textId="436382AA" w:rsidR="00BB65B3" w:rsidRDefault="008E407C">
      <w:pPr>
        <w:pStyle w:val="TableofFigures"/>
        <w:tabs>
          <w:tab w:val="right" w:leader="dot" w:pos="9629"/>
        </w:tabs>
        <w:rPr>
          <w:rStyle w:val="Hyperlink"/>
          <w:noProof/>
        </w:rPr>
      </w:pPr>
      <w:hyperlink w:anchor="_Toc71635397" w:history="1">
        <w:r w:rsidR="00BB65B3" w:rsidRPr="0033085A">
          <w:rPr>
            <w:rStyle w:val="Hyperlink"/>
            <w:noProof/>
          </w:rPr>
          <w:t>Proposal 4</w:t>
        </w:r>
        <w:r w:rsidR="00BB65B3">
          <w:rPr>
            <w:rFonts w:asciiTheme="minorHAnsi" w:eastAsiaTheme="minorEastAsia" w:hAnsiTheme="minorHAnsi" w:cstheme="minorBidi"/>
            <w:b w:val="0"/>
            <w:noProof/>
            <w:sz w:val="22"/>
            <w:szCs w:val="22"/>
            <w:lang w:val="sv-SE" w:eastAsia="sv-SE"/>
          </w:rPr>
          <w:tab/>
        </w:r>
        <w:r w:rsidR="00BB65B3" w:rsidRPr="0033085A">
          <w:rPr>
            <w:rStyle w:val="Hyperlink"/>
            <w:noProof/>
          </w:rPr>
          <w:t>The three unused entries in the legacy CQI mapping Table in clause 9.1.22.15 of TS 36.133 (i.e., Table 9.1.22.15-1) are used for the CQI reporting of 16-QAM in DL.</w:t>
        </w:r>
      </w:hyperlink>
    </w:p>
    <w:tbl>
      <w:tblPr>
        <w:tblW w:w="9062" w:type="dxa"/>
        <w:jc w:val="center"/>
        <w:tblCellMar>
          <w:left w:w="0" w:type="dxa"/>
          <w:right w:w="0" w:type="dxa"/>
        </w:tblCellMar>
        <w:tblLook w:val="04A0" w:firstRow="1" w:lastRow="0" w:firstColumn="1" w:lastColumn="0" w:noHBand="0" w:noVBand="1"/>
      </w:tblPr>
      <w:tblGrid>
        <w:gridCol w:w="1550"/>
        <w:gridCol w:w="2675"/>
        <w:gridCol w:w="4837"/>
      </w:tblGrid>
      <w:tr w:rsidR="002007D6" w14:paraId="69D28411" w14:textId="77777777" w:rsidTr="007B370F">
        <w:trPr>
          <w:trHeight w:val="76"/>
          <w:jc w:val="center"/>
        </w:trPr>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434F56" w14:textId="77777777" w:rsidR="002007D6" w:rsidRDefault="002007D6" w:rsidP="007B370F">
            <w:pPr>
              <w:pStyle w:val="TAH"/>
              <w:rPr>
                <w:rFonts w:cs="Arial"/>
                <w:lang w:eastAsia="en-US"/>
              </w:rPr>
            </w:pPr>
            <w:r>
              <w:t>Reported value</w:t>
            </w:r>
          </w:p>
        </w:tc>
        <w:tc>
          <w:tcPr>
            <w:tcW w:w="26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473976" w14:textId="77777777" w:rsidR="002007D6" w:rsidRDefault="002007D6" w:rsidP="007B370F">
            <w:pPr>
              <w:pStyle w:val="TAH"/>
              <w:rPr>
                <w:sz w:val="22"/>
                <w:szCs w:val="22"/>
                <w:lang w:val="sv-SE"/>
              </w:rPr>
            </w:pPr>
            <w:r>
              <w:t>NPDCCH repetition level</w:t>
            </w:r>
          </w:p>
        </w:tc>
        <w:tc>
          <w:tcPr>
            <w:tcW w:w="4837" w:type="dxa"/>
            <w:tcBorders>
              <w:top w:val="single" w:sz="8" w:space="0" w:color="auto"/>
              <w:left w:val="nil"/>
              <w:bottom w:val="single" w:sz="8" w:space="0" w:color="auto"/>
              <w:right w:val="single" w:sz="8" w:space="0" w:color="auto"/>
            </w:tcBorders>
            <w:hideMark/>
          </w:tcPr>
          <w:p w14:paraId="13742595" w14:textId="77777777" w:rsidR="002007D6" w:rsidRDefault="002007D6" w:rsidP="007B370F">
            <w:pPr>
              <w:pStyle w:val="TAH"/>
              <w:rPr>
                <w:sz w:val="20"/>
                <w:lang w:eastAsia="sv-SE"/>
              </w:rPr>
            </w:pPr>
            <w:r>
              <w:t xml:space="preserve">16-QAM </w:t>
            </w:r>
            <w:r w:rsidRPr="00161B74">
              <w:t>CQI</w:t>
            </w:r>
            <w:r>
              <w:t xml:space="preserve"> index with </w:t>
            </w:r>
            <w:r w:rsidRPr="005207FB">
              <w:rPr>
                <w:lang w:val="en-US"/>
              </w:rPr>
              <w:t>N</w:t>
            </w:r>
            <w:r>
              <w:rPr>
                <w:lang w:val="en-US"/>
              </w:rPr>
              <w:t xml:space="preserve">PDSCH </w:t>
            </w:r>
            <w:r>
              <w:t>transport block error probability not exceeding 0.1</w:t>
            </w:r>
          </w:p>
        </w:tc>
      </w:tr>
      <w:tr w:rsidR="002007D6" w14:paraId="12AFD9B3" w14:textId="77777777" w:rsidTr="007B370F">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217031" w14:textId="77777777" w:rsidR="002007D6" w:rsidRDefault="002007D6" w:rsidP="007B370F">
            <w:pPr>
              <w:pStyle w:val="TAC"/>
              <w:rPr>
                <w:szCs w:val="18"/>
                <w:lang w:val="en-GB"/>
              </w:rPr>
            </w:pPr>
            <w:r>
              <w:rPr>
                <w:lang w:val="en-GB"/>
              </w:rPr>
              <w:t>candidateRep-M</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D9F6D8" w14:textId="77777777" w:rsidR="002007D6" w:rsidRDefault="002007D6" w:rsidP="007B370F">
            <w:pPr>
              <w:pStyle w:val="TAC"/>
              <w:rPr>
                <w:sz w:val="20"/>
                <w:lang w:val="en-GB"/>
              </w:rPr>
            </w:pPr>
            <w:r>
              <w:rPr>
                <w:lang w:val="en-GB"/>
              </w:rPr>
              <w:t>1</w:t>
            </w:r>
          </w:p>
        </w:tc>
        <w:tc>
          <w:tcPr>
            <w:tcW w:w="4837" w:type="dxa"/>
            <w:tcBorders>
              <w:top w:val="nil"/>
              <w:left w:val="nil"/>
              <w:bottom w:val="single" w:sz="8" w:space="0" w:color="auto"/>
              <w:right w:val="single" w:sz="8" w:space="0" w:color="auto"/>
            </w:tcBorders>
            <w:hideMark/>
          </w:tcPr>
          <w:p w14:paraId="79DF9DA6" w14:textId="77777777" w:rsidR="002007D6" w:rsidRPr="00B9545E" w:rsidRDefault="002007D6" w:rsidP="007B370F">
            <w:pPr>
              <w:pStyle w:val="TAC"/>
              <w:rPr>
                <w:lang w:val="en-GB"/>
              </w:rPr>
            </w:pPr>
            <w:r w:rsidRPr="00B9545E">
              <w:rPr>
                <w:rFonts w:ascii="Calibri" w:hAnsi="Calibri" w:cs="Calibri"/>
              </w:rPr>
              <w:t>0</w:t>
            </w:r>
          </w:p>
        </w:tc>
      </w:tr>
      <w:tr w:rsidR="002007D6" w14:paraId="53997CB7" w14:textId="77777777" w:rsidTr="007B370F">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3F6D2F" w14:textId="77777777" w:rsidR="002007D6" w:rsidRDefault="002007D6" w:rsidP="007B370F">
            <w:pPr>
              <w:pStyle w:val="TAC"/>
              <w:rPr>
                <w:lang w:val="en-GB"/>
              </w:rPr>
            </w:pPr>
            <w:r>
              <w:rPr>
                <w:lang w:val="en-GB"/>
              </w:rPr>
              <w:t>candidateRep-N</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4C9704" w14:textId="77777777" w:rsidR="002007D6" w:rsidRDefault="002007D6" w:rsidP="007B370F">
            <w:pPr>
              <w:pStyle w:val="TAC"/>
              <w:rPr>
                <w:lang w:val="en-GB"/>
              </w:rPr>
            </w:pPr>
            <w:r>
              <w:rPr>
                <w:lang w:val="en-GB"/>
              </w:rPr>
              <w:t>1</w:t>
            </w:r>
          </w:p>
        </w:tc>
        <w:tc>
          <w:tcPr>
            <w:tcW w:w="4837" w:type="dxa"/>
            <w:tcBorders>
              <w:top w:val="nil"/>
              <w:left w:val="nil"/>
              <w:bottom w:val="single" w:sz="8" w:space="0" w:color="auto"/>
              <w:right w:val="single" w:sz="8" w:space="0" w:color="auto"/>
            </w:tcBorders>
            <w:hideMark/>
          </w:tcPr>
          <w:p w14:paraId="784A4081" w14:textId="77777777" w:rsidR="002007D6" w:rsidRPr="00B9545E" w:rsidRDefault="002007D6" w:rsidP="007B370F">
            <w:pPr>
              <w:pStyle w:val="TAC"/>
              <w:rPr>
                <w:lang w:val="en-GB"/>
              </w:rPr>
            </w:pPr>
            <w:r w:rsidRPr="00B9545E">
              <w:rPr>
                <w:rFonts w:ascii="Calibri" w:hAnsi="Calibri" w:cs="Calibri"/>
              </w:rPr>
              <w:t>1</w:t>
            </w:r>
          </w:p>
        </w:tc>
      </w:tr>
      <w:tr w:rsidR="002007D6" w14:paraId="0AB80E10" w14:textId="77777777" w:rsidTr="007B370F">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524907" w14:textId="77777777" w:rsidR="002007D6" w:rsidRDefault="002007D6" w:rsidP="007B370F">
            <w:pPr>
              <w:pStyle w:val="TAC"/>
              <w:rPr>
                <w:lang w:val="en-GB"/>
              </w:rPr>
            </w:pPr>
            <w:r>
              <w:rPr>
                <w:lang w:val="en-GB"/>
              </w:rPr>
              <w:t>candidateRep-O</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C8757F" w14:textId="77777777" w:rsidR="002007D6" w:rsidRDefault="002007D6" w:rsidP="007B370F">
            <w:pPr>
              <w:pStyle w:val="TAC"/>
              <w:rPr>
                <w:lang w:val="en-GB"/>
              </w:rPr>
            </w:pPr>
            <w:r>
              <w:rPr>
                <w:lang w:val="en-GB"/>
              </w:rPr>
              <w:t>1</w:t>
            </w:r>
          </w:p>
        </w:tc>
        <w:tc>
          <w:tcPr>
            <w:tcW w:w="4837" w:type="dxa"/>
            <w:tcBorders>
              <w:top w:val="nil"/>
              <w:left w:val="nil"/>
              <w:bottom w:val="single" w:sz="8" w:space="0" w:color="auto"/>
              <w:right w:val="single" w:sz="8" w:space="0" w:color="auto"/>
            </w:tcBorders>
            <w:hideMark/>
          </w:tcPr>
          <w:p w14:paraId="4A506ED0" w14:textId="77777777" w:rsidR="002007D6" w:rsidRPr="00B9545E" w:rsidRDefault="002007D6" w:rsidP="007B370F">
            <w:pPr>
              <w:pStyle w:val="TAC"/>
              <w:rPr>
                <w:lang w:val="en-GB"/>
              </w:rPr>
            </w:pPr>
            <w:r w:rsidRPr="00B9545E">
              <w:rPr>
                <w:rFonts w:ascii="Calibri" w:hAnsi="Calibri" w:cs="Calibri"/>
              </w:rPr>
              <w:t>2</w:t>
            </w:r>
          </w:p>
        </w:tc>
      </w:tr>
    </w:tbl>
    <w:p w14:paraId="52002FE3" w14:textId="77777777" w:rsidR="002007D6" w:rsidRDefault="002007D6" w:rsidP="002007D6">
      <w:pPr>
        <w:pStyle w:val="Proposal"/>
        <w:numPr>
          <w:ilvl w:val="0"/>
          <w:numId w:val="0"/>
        </w:numPr>
        <w:ind w:left="1701"/>
      </w:pPr>
    </w:p>
    <w:tbl>
      <w:tblPr>
        <w:tblW w:w="0" w:type="auto"/>
        <w:jc w:val="center"/>
        <w:tblCellMar>
          <w:left w:w="0" w:type="dxa"/>
          <w:right w:w="0" w:type="dxa"/>
        </w:tblCellMar>
        <w:tblLook w:val="04A0" w:firstRow="1" w:lastRow="0" w:firstColumn="1" w:lastColumn="0" w:noHBand="0" w:noVBand="1"/>
      </w:tblPr>
      <w:tblGrid>
        <w:gridCol w:w="1057"/>
        <w:gridCol w:w="1816"/>
        <w:gridCol w:w="1620"/>
      </w:tblGrid>
      <w:tr w:rsidR="002007D6" w14:paraId="218079BF" w14:textId="77777777" w:rsidTr="007B370F">
        <w:trPr>
          <w:trHeight w:val="163"/>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39FA85" w14:textId="77777777" w:rsidR="002007D6" w:rsidRDefault="002007D6" w:rsidP="007B370F">
            <w:pPr>
              <w:keepNext/>
              <w:jc w:val="center"/>
              <w:rPr>
                <w:rFonts w:ascii="Arial" w:hAnsi="Arial" w:cs="Arial"/>
                <w:b/>
                <w:bCs/>
                <w:sz w:val="18"/>
                <w:szCs w:val="18"/>
                <w:lang w:val="sv-SE"/>
              </w:rPr>
            </w:pPr>
            <w:r>
              <w:rPr>
                <w:rFonts w:ascii="Arial" w:hAnsi="Arial" w:cs="Arial"/>
                <w:b/>
                <w:bCs/>
                <w:sz w:val="18"/>
                <w:szCs w:val="18"/>
              </w:rPr>
              <w:t>CQI Index</w:t>
            </w:r>
          </w:p>
        </w:tc>
        <w:tc>
          <w:tcPr>
            <w:tcW w:w="34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4C9F1B" w14:textId="77777777" w:rsidR="002007D6" w:rsidRDefault="002007D6" w:rsidP="007B370F">
            <w:pPr>
              <w:keepNext/>
              <w:jc w:val="center"/>
              <w:rPr>
                <w:rFonts w:ascii="Arial" w:hAnsi="Arial" w:cs="Arial"/>
                <w:b/>
                <w:bCs/>
                <w:sz w:val="18"/>
                <w:szCs w:val="18"/>
              </w:rPr>
            </w:pPr>
            <w:r>
              <w:rPr>
                <w:rFonts w:ascii="Arial" w:hAnsi="Arial" w:cs="Arial"/>
                <w:b/>
                <w:bCs/>
                <w:sz w:val="18"/>
                <w:szCs w:val="18"/>
              </w:rPr>
              <w:t>I</w:t>
            </w:r>
            <w:r>
              <w:rPr>
                <w:rFonts w:ascii="Arial" w:hAnsi="Arial" w:cs="Arial"/>
                <w:b/>
                <w:bCs/>
                <w:sz w:val="18"/>
                <w:szCs w:val="18"/>
                <w:vertAlign w:val="subscript"/>
              </w:rPr>
              <w:t xml:space="preserve">TBS </w:t>
            </w:r>
            <w:r>
              <w:rPr>
                <w:rFonts w:ascii="Arial" w:hAnsi="Arial" w:cs="Arial"/>
                <w:b/>
                <w:bCs/>
                <w:sz w:val="18"/>
                <w:szCs w:val="18"/>
              </w:rPr>
              <w:t>index</w:t>
            </w:r>
          </w:p>
        </w:tc>
      </w:tr>
      <w:tr w:rsidR="002007D6" w14:paraId="00AA233C" w14:textId="77777777" w:rsidTr="007B370F">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8CB4AEF" w14:textId="77777777" w:rsidR="002007D6" w:rsidRDefault="002007D6" w:rsidP="007B370F">
            <w:pPr>
              <w:keepNext/>
              <w:jc w:val="center"/>
              <w:rPr>
                <w:rFonts w:ascii="Arial" w:hAnsi="Arial" w:cs="Arial"/>
                <w:sz w:val="18"/>
                <w:szCs w:val="18"/>
              </w:rPr>
            </w:pP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0A0695A9" w14:textId="77777777" w:rsidR="002007D6" w:rsidRPr="00B9545E" w:rsidRDefault="002007D6" w:rsidP="007B370F">
            <w:pPr>
              <w:pStyle w:val="TAH"/>
              <w:rPr>
                <w:rFonts w:cs="Arial"/>
                <w:szCs w:val="18"/>
              </w:rPr>
            </w:pPr>
            <w:r w:rsidRPr="00B9545E">
              <w:rPr>
                <w:lang w:val="de-DE"/>
              </w:rPr>
              <w:t>Guard-band and Stand-alone deployments</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39A817E9" w14:textId="77777777" w:rsidR="002007D6" w:rsidRPr="00B9545E" w:rsidRDefault="002007D6" w:rsidP="007B370F">
            <w:pPr>
              <w:pStyle w:val="TAH"/>
              <w:rPr>
                <w:sz w:val="20"/>
                <w:lang w:val="de-DE"/>
              </w:rPr>
            </w:pPr>
            <w:r w:rsidRPr="00B9545E">
              <w:rPr>
                <w:lang w:val="de-DE"/>
              </w:rPr>
              <w:t>In-band deployments</w:t>
            </w:r>
          </w:p>
        </w:tc>
      </w:tr>
      <w:tr w:rsidR="002007D6" w14:paraId="3886337E" w14:textId="77777777" w:rsidTr="007B370F">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166341" w14:textId="77777777" w:rsidR="002007D6" w:rsidRDefault="002007D6" w:rsidP="007B370F">
            <w:pPr>
              <w:keepNext/>
              <w:jc w:val="center"/>
              <w:rPr>
                <w:rFonts w:ascii="Arial" w:hAnsi="Arial" w:cs="Arial"/>
                <w:sz w:val="18"/>
                <w:szCs w:val="18"/>
                <w:lang w:val="sv-SE"/>
              </w:rPr>
            </w:pPr>
            <w:r>
              <w:rPr>
                <w:rFonts w:ascii="Arial" w:hAnsi="Arial" w:cs="Arial"/>
                <w:sz w:val="18"/>
                <w:szCs w:val="18"/>
              </w:rPr>
              <w:t>0</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67EA7FC4" w14:textId="77777777" w:rsidR="002007D6" w:rsidRPr="00B9545E" w:rsidRDefault="002007D6" w:rsidP="007B370F">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17</w:t>
            </w:r>
            <w:r>
              <w:rPr>
                <w:rFonts w:ascii="Arial" w:hAnsi="Arial" w:cs="Arial"/>
                <w:sz w:val="18"/>
                <w:szCs w:val="18"/>
              </w:rPr>
              <w:t>]</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2A346EAA" w14:textId="77777777" w:rsidR="002007D6" w:rsidRPr="00B9545E" w:rsidRDefault="002007D6" w:rsidP="007B370F">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13</w:t>
            </w:r>
            <w:r>
              <w:rPr>
                <w:rFonts w:ascii="Arial" w:hAnsi="Arial" w:cs="Arial"/>
                <w:sz w:val="18"/>
                <w:szCs w:val="18"/>
              </w:rPr>
              <w:t>]</w:t>
            </w:r>
          </w:p>
        </w:tc>
      </w:tr>
      <w:tr w:rsidR="002007D6" w14:paraId="01DAC5C2" w14:textId="77777777" w:rsidTr="007B370F">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724A69" w14:textId="77777777" w:rsidR="002007D6" w:rsidRDefault="002007D6" w:rsidP="007B370F">
            <w:pPr>
              <w:keepNext/>
              <w:jc w:val="center"/>
              <w:rPr>
                <w:rFonts w:ascii="Arial" w:hAnsi="Arial" w:cs="Arial"/>
                <w:sz w:val="18"/>
                <w:szCs w:val="18"/>
              </w:rPr>
            </w:pPr>
            <w:r>
              <w:rPr>
                <w:rFonts w:ascii="Arial" w:hAnsi="Arial" w:cs="Arial"/>
                <w:sz w:val="18"/>
                <w:szCs w:val="18"/>
              </w:rPr>
              <w:t>1</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2E9D4542" w14:textId="77777777" w:rsidR="002007D6" w:rsidRPr="00B9545E" w:rsidRDefault="002007D6" w:rsidP="007B370F">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20</w:t>
            </w:r>
            <w:r>
              <w:rPr>
                <w:rFonts w:ascii="Arial" w:hAnsi="Arial" w:cs="Arial"/>
                <w:sz w:val="18"/>
                <w:szCs w:val="18"/>
              </w:rPr>
              <w:t>]</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6276C7C5" w14:textId="77777777" w:rsidR="002007D6" w:rsidRPr="00B9545E" w:rsidRDefault="002007D6" w:rsidP="007B370F">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16</w:t>
            </w:r>
            <w:r>
              <w:rPr>
                <w:rFonts w:ascii="Arial" w:hAnsi="Arial" w:cs="Arial"/>
                <w:sz w:val="18"/>
                <w:szCs w:val="18"/>
              </w:rPr>
              <w:t>]</w:t>
            </w:r>
          </w:p>
        </w:tc>
      </w:tr>
      <w:tr w:rsidR="002007D6" w14:paraId="562ECF95" w14:textId="77777777" w:rsidTr="007B370F">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E15A40" w14:textId="77777777" w:rsidR="002007D6" w:rsidRDefault="002007D6" w:rsidP="007B370F">
            <w:pPr>
              <w:keepNext/>
              <w:jc w:val="center"/>
              <w:rPr>
                <w:rFonts w:ascii="Arial" w:hAnsi="Arial" w:cs="Arial"/>
                <w:sz w:val="18"/>
                <w:szCs w:val="18"/>
              </w:rPr>
            </w:pPr>
            <w:r>
              <w:rPr>
                <w:rFonts w:ascii="Arial" w:hAnsi="Arial" w:cs="Arial"/>
                <w:sz w:val="18"/>
                <w:szCs w:val="18"/>
              </w:rPr>
              <w:t>2</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20501AA0" w14:textId="77777777" w:rsidR="002007D6" w:rsidRPr="00B9545E" w:rsidRDefault="002007D6" w:rsidP="007B370F">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21</w:t>
            </w:r>
            <w:r>
              <w:rPr>
                <w:rFonts w:ascii="Arial" w:hAnsi="Arial" w:cs="Arial"/>
                <w:sz w:val="18"/>
                <w:szCs w:val="18"/>
              </w:rPr>
              <w:t>]</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3C1A40A5" w14:textId="77777777" w:rsidR="002007D6" w:rsidRPr="00B9545E" w:rsidRDefault="002007D6" w:rsidP="007B370F">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17</w:t>
            </w:r>
            <w:r>
              <w:rPr>
                <w:rFonts w:ascii="Arial" w:hAnsi="Arial" w:cs="Arial"/>
                <w:sz w:val="18"/>
                <w:szCs w:val="18"/>
              </w:rPr>
              <w:t>]</w:t>
            </w:r>
          </w:p>
        </w:tc>
      </w:tr>
    </w:tbl>
    <w:p w14:paraId="5B9892C4" w14:textId="77777777" w:rsidR="002007D6" w:rsidRPr="002007D6" w:rsidRDefault="002007D6" w:rsidP="002007D6">
      <w:pPr>
        <w:rPr>
          <w:lang w:eastAsia="zh-CN"/>
        </w:rPr>
      </w:pPr>
    </w:p>
    <w:p w14:paraId="3D72A3FC" w14:textId="77777777" w:rsidR="00BB65B3" w:rsidRDefault="008E40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635398" w:history="1">
        <w:r w:rsidR="00BB65B3" w:rsidRPr="0033085A">
          <w:rPr>
            <w:rStyle w:val="Hyperlink"/>
            <w:noProof/>
          </w:rPr>
          <w:t>Proposal 5</w:t>
        </w:r>
        <w:r w:rsidR="00BB65B3">
          <w:rPr>
            <w:rFonts w:asciiTheme="minorHAnsi" w:eastAsiaTheme="minorEastAsia" w:hAnsiTheme="minorHAnsi" w:cstheme="minorBidi"/>
            <w:b w:val="0"/>
            <w:noProof/>
            <w:sz w:val="22"/>
            <w:szCs w:val="22"/>
            <w:lang w:val="sv-SE" w:eastAsia="sv-SE"/>
          </w:rPr>
          <w:tab/>
        </w:r>
        <w:r w:rsidR="00BB65B3" w:rsidRPr="0033085A">
          <w:rPr>
            <w:rStyle w:val="Hyperlink"/>
            <w:noProof/>
          </w:rPr>
          <w:t>For the 16-QAM downlink power allocation, in case of “standalone and guard-band deployments” the following option is used:</w:t>
        </w:r>
      </w:hyperlink>
    </w:p>
    <w:p w14:paraId="7209BF41" w14:textId="77777777" w:rsidR="00BB65B3" w:rsidRDefault="008E407C" w:rsidP="00BB65B3">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71635399" w:history="1">
        <w:r w:rsidR="00BB65B3" w:rsidRPr="0033085A">
          <w:rPr>
            <w:rStyle w:val="Hyperlink"/>
            <w:rFonts w:ascii="Wingdings" w:hAnsi="Wingdings"/>
            <w:noProof/>
          </w:rPr>
          <w:t></w:t>
        </w:r>
        <w:r w:rsidR="00BB65B3">
          <w:rPr>
            <w:rFonts w:asciiTheme="minorHAnsi" w:eastAsiaTheme="minorEastAsia" w:hAnsiTheme="minorHAnsi" w:cstheme="minorBidi"/>
            <w:b w:val="0"/>
            <w:noProof/>
            <w:sz w:val="22"/>
            <w:szCs w:val="22"/>
            <w:lang w:val="sv-SE" w:eastAsia="sv-SE"/>
          </w:rPr>
          <w:tab/>
        </w:r>
        <w:r w:rsidR="00BB65B3" w:rsidRPr="0033085A">
          <w:rPr>
            <w:rStyle w:val="Hyperlink"/>
            <w:noProof/>
          </w:rPr>
          <w:t>Option 1: Two power ratios are signaled</w:t>
        </w:r>
      </w:hyperlink>
    </w:p>
    <w:p w14:paraId="7AFB101A" w14:textId="77777777" w:rsidR="00BB65B3" w:rsidRDefault="008E407C" w:rsidP="00BB65B3">
      <w:pPr>
        <w:pStyle w:val="TableofFigures"/>
        <w:tabs>
          <w:tab w:val="right" w:leader="dot" w:pos="9629"/>
        </w:tabs>
        <w:ind w:left="2268" w:hanging="283"/>
        <w:rPr>
          <w:rFonts w:asciiTheme="minorHAnsi" w:eastAsiaTheme="minorEastAsia" w:hAnsiTheme="minorHAnsi" w:cstheme="minorBidi"/>
          <w:b w:val="0"/>
          <w:noProof/>
          <w:sz w:val="22"/>
          <w:szCs w:val="22"/>
          <w:lang w:val="sv-SE" w:eastAsia="sv-SE"/>
        </w:rPr>
      </w:pPr>
      <w:hyperlink w:anchor="_Toc71635400" w:history="1">
        <w:r w:rsidR="00BB65B3" w:rsidRPr="0033085A">
          <w:rPr>
            <w:rStyle w:val="Hyperlink"/>
            <w:rFonts w:ascii="Symbol" w:hAnsi="Symbol"/>
            <w:noProof/>
          </w:rPr>
          <w:t></w:t>
        </w:r>
        <w:r w:rsidR="00BB65B3">
          <w:rPr>
            <w:rFonts w:asciiTheme="minorHAnsi" w:eastAsiaTheme="minorEastAsia" w:hAnsiTheme="minorHAnsi" w:cstheme="minorBidi"/>
            <w:b w:val="0"/>
            <w:noProof/>
            <w:sz w:val="22"/>
            <w:szCs w:val="22"/>
            <w:lang w:val="sv-SE" w:eastAsia="sv-SE"/>
          </w:rPr>
          <w:tab/>
        </w:r>
        <w:r w:rsidR="00BB65B3" w:rsidRPr="0033085A">
          <w:rPr>
            <w:rStyle w:val="Hyperlink"/>
            <w:noProof/>
          </w:rPr>
          <w:t>NPDSCH EPRE to NRS EPRE in symbols with NRS</w:t>
        </w:r>
      </w:hyperlink>
    </w:p>
    <w:p w14:paraId="0CA5C071" w14:textId="77777777" w:rsidR="00BB65B3" w:rsidRDefault="008E407C" w:rsidP="00BB65B3">
      <w:pPr>
        <w:pStyle w:val="TableofFigures"/>
        <w:tabs>
          <w:tab w:val="right" w:leader="dot" w:pos="9629"/>
        </w:tabs>
        <w:ind w:left="2268" w:hanging="283"/>
        <w:rPr>
          <w:rFonts w:asciiTheme="minorHAnsi" w:eastAsiaTheme="minorEastAsia" w:hAnsiTheme="minorHAnsi" w:cstheme="minorBidi"/>
          <w:b w:val="0"/>
          <w:noProof/>
          <w:sz w:val="22"/>
          <w:szCs w:val="22"/>
          <w:lang w:val="sv-SE" w:eastAsia="sv-SE"/>
        </w:rPr>
      </w:pPr>
      <w:hyperlink w:anchor="_Toc71635401" w:history="1">
        <w:r w:rsidR="00BB65B3" w:rsidRPr="0033085A">
          <w:rPr>
            <w:rStyle w:val="Hyperlink"/>
            <w:rFonts w:ascii="Symbol" w:hAnsi="Symbol"/>
            <w:noProof/>
          </w:rPr>
          <w:t></w:t>
        </w:r>
        <w:r w:rsidR="00BB65B3">
          <w:rPr>
            <w:rFonts w:asciiTheme="minorHAnsi" w:eastAsiaTheme="minorEastAsia" w:hAnsiTheme="minorHAnsi" w:cstheme="minorBidi"/>
            <w:b w:val="0"/>
            <w:noProof/>
            <w:sz w:val="22"/>
            <w:szCs w:val="22"/>
            <w:lang w:val="sv-SE" w:eastAsia="sv-SE"/>
          </w:rPr>
          <w:tab/>
        </w:r>
        <w:r w:rsidR="00BB65B3" w:rsidRPr="0033085A">
          <w:rPr>
            <w:rStyle w:val="Hyperlink"/>
            <w:noProof/>
          </w:rPr>
          <w:t>NPDSCH EPRE to NRS EPRE in symbols without NRS</w:t>
        </w:r>
      </w:hyperlink>
    </w:p>
    <w:p w14:paraId="4DD4606E" w14:textId="77777777" w:rsidR="00BB65B3" w:rsidRDefault="008E407C" w:rsidP="00BB65B3">
      <w:pPr>
        <w:pStyle w:val="TableofFigures"/>
        <w:tabs>
          <w:tab w:val="right" w:leader="dot" w:pos="9629"/>
        </w:tabs>
        <w:ind w:left="2268" w:hanging="283"/>
        <w:rPr>
          <w:rFonts w:asciiTheme="minorHAnsi" w:eastAsiaTheme="minorEastAsia" w:hAnsiTheme="minorHAnsi" w:cstheme="minorBidi"/>
          <w:b w:val="0"/>
          <w:noProof/>
          <w:sz w:val="22"/>
          <w:szCs w:val="22"/>
          <w:lang w:val="sv-SE" w:eastAsia="sv-SE"/>
        </w:rPr>
      </w:pPr>
      <w:hyperlink w:anchor="_Toc71635402" w:history="1">
        <w:r w:rsidR="00BB65B3" w:rsidRPr="0033085A">
          <w:rPr>
            <w:rStyle w:val="Hyperlink"/>
            <w:rFonts w:ascii="Symbol" w:hAnsi="Symbol"/>
            <w:noProof/>
          </w:rPr>
          <w:t></w:t>
        </w:r>
        <w:r w:rsidR="00BB65B3">
          <w:rPr>
            <w:rFonts w:asciiTheme="minorHAnsi" w:eastAsiaTheme="minorEastAsia" w:hAnsiTheme="minorHAnsi" w:cstheme="minorBidi"/>
            <w:b w:val="0"/>
            <w:noProof/>
            <w:sz w:val="22"/>
            <w:szCs w:val="22"/>
            <w:lang w:val="sv-SE" w:eastAsia="sv-SE"/>
          </w:rPr>
          <w:tab/>
        </w:r>
        <w:r w:rsidR="00BB65B3" w:rsidRPr="0033085A">
          <w:rPr>
            <w:rStyle w:val="Hyperlink"/>
            <w:noProof/>
          </w:rPr>
          <w:t>If the signaling(s) is(are) not indicated, the legacy power allocation is used.</w:t>
        </w:r>
      </w:hyperlink>
    </w:p>
    <w:p w14:paraId="67842A55" w14:textId="77777777" w:rsidR="00BB65B3" w:rsidRDefault="008E407C" w:rsidP="00BB65B3">
      <w:pPr>
        <w:pStyle w:val="TableofFigures"/>
        <w:tabs>
          <w:tab w:val="right" w:leader="dot" w:pos="9629"/>
        </w:tabs>
        <w:ind w:left="2552" w:hanging="284"/>
        <w:rPr>
          <w:rFonts w:asciiTheme="minorHAnsi" w:eastAsiaTheme="minorEastAsia" w:hAnsiTheme="minorHAnsi" w:cstheme="minorBidi"/>
          <w:b w:val="0"/>
          <w:noProof/>
          <w:sz w:val="22"/>
          <w:szCs w:val="22"/>
          <w:lang w:val="sv-SE" w:eastAsia="sv-SE"/>
        </w:rPr>
      </w:pPr>
      <w:hyperlink w:anchor="_Toc71635403" w:history="1">
        <w:r w:rsidR="00BB65B3" w:rsidRPr="0033085A">
          <w:rPr>
            <w:rStyle w:val="Hyperlink"/>
            <w:rFonts w:ascii="Courier New" w:hAnsi="Courier New" w:cs="Courier New"/>
            <w:noProof/>
          </w:rPr>
          <w:t>o</w:t>
        </w:r>
        <w:r w:rsidR="00BB65B3">
          <w:rPr>
            <w:rFonts w:asciiTheme="minorHAnsi" w:eastAsiaTheme="minorEastAsia" w:hAnsiTheme="minorHAnsi" w:cstheme="minorBidi"/>
            <w:b w:val="0"/>
            <w:noProof/>
            <w:sz w:val="22"/>
            <w:szCs w:val="22"/>
            <w:lang w:val="sv-SE" w:eastAsia="sv-SE"/>
          </w:rPr>
          <w:tab/>
        </w:r>
        <w:r w:rsidR="00BB65B3" w:rsidRPr="0033085A">
          <w:rPr>
            <w:rStyle w:val="Hyperlink"/>
            <w:noProof/>
          </w:rPr>
          <w:t>i.e., the ratio of NPDSCH EPRE to NRS EPRE is 0dB for one NRS antenna port, and -3dB for two NRS antenna ports</w:t>
        </w:r>
      </w:hyperlink>
    </w:p>
    <w:p w14:paraId="5458FEEE" w14:textId="77777777" w:rsidR="00BB65B3" w:rsidRDefault="008E40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635404" w:history="1">
        <w:r w:rsidR="00BB65B3" w:rsidRPr="0033085A">
          <w:rPr>
            <w:rStyle w:val="Hyperlink"/>
            <w:noProof/>
          </w:rPr>
          <w:t>Proposal 6</w:t>
        </w:r>
        <w:r w:rsidR="00BB65B3">
          <w:rPr>
            <w:rFonts w:asciiTheme="minorHAnsi" w:eastAsiaTheme="minorEastAsia" w:hAnsiTheme="minorHAnsi" w:cstheme="minorBidi"/>
            <w:b w:val="0"/>
            <w:noProof/>
            <w:sz w:val="22"/>
            <w:szCs w:val="22"/>
            <w:lang w:val="sv-SE" w:eastAsia="sv-SE"/>
          </w:rPr>
          <w:tab/>
        </w:r>
        <w:r w:rsidR="00BB65B3" w:rsidRPr="0033085A">
          <w:rPr>
            <w:rStyle w:val="Hyperlink"/>
            <w:noProof/>
          </w:rPr>
          <w:t>For the downlink power allocation, in case of “in-band deployments” the following power ratio is signalled regardless of the PCI case:</w:t>
        </w:r>
      </w:hyperlink>
    </w:p>
    <w:p w14:paraId="7538DA8E" w14:textId="77777777" w:rsidR="00BB65B3" w:rsidRDefault="008E407C" w:rsidP="00BB65B3">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71635405" w:history="1">
        <w:r w:rsidR="00BB65B3" w:rsidRPr="0033085A">
          <w:rPr>
            <w:rStyle w:val="Hyperlink"/>
            <w:rFonts w:ascii="Wingdings" w:hAnsi="Wingdings"/>
            <w:noProof/>
          </w:rPr>
          <w:t></w:t>
        </w:r>
        <w:r w:rsidR="00BB65B3">
          <w:rPr>
            <w:rFonts w:asciiTheme="minorHAnsi" w:eastAsiaTheme="minorEastAsia" w:hAnsiTheme="minorHAnsi" w:cstheme="minorBidi"/>
            <w:b w:val="0"/>
            <w:noProof/>
            <w:sz w:val="22"/>
            <w:szCs w:val="22"/>
            <w:lang w:val="sv-SE" w:eastAsia="sv-SE"/>
          </w:rPr>
          <w:tab/>
        </w:r>
        <w:r w:rsidR="00BB65B3" w:rsidRPr="0033085A">
          <w:rPr>
            <w:rStyle w:val="Hyperlink"/>
            <w:noProof/>
          </w:rPr>
          <w:t>“The power ratio of NPDSCH EPRE to NRS EPRE in symbols with CRS”.</w:t>
        </w:r>
      </w:hyperlink>
    </w:p>
    <w:p w14:paraId="21258195" w14:textId="77777777" w:rsidR="00BB65B3" w:rsidRDefault="008E40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635406" w:history="1">
        <w:r w:rsidR="00BB65B3" w:rsidRPr="0033085A">
          <w:rPr>
            <w:rStyle w:val="Hyperlink"/>
            <w:noProof/>
          </w:rPr>
          <w:t>Proposal 7</w:t>
        </w:r>
        <w:r w:rsidR="00BB65B3">
          <w:rPr>
            <w:rFonts w:asciiTheme="minorHAnsi" w:eastAsiaTheme="minorEastAsia" w:hAnsiTheme="minorHAnsi" w:cstheme="minorBidi"/>
            <w:b w:val="0"/>
            <w:noProof/>
            <w:sz w:val="22"/>
            <w:szCs w:val="22"/>
            <w:lang w:val="sv-SE" w:eastAsia="sv-SE"/>
          </w:rPr>
          <w:tab/>
        </w:r>
        <w:r w:rsidR="00BB65B3" w:rsidRPr="0033085A">
          <w:rPr>
            <w:rStyle w:val="Hyperlink"/>
            <w:noProof/>
          </w:rPr>
          <w:t>The signalling for the downlink power allocation for 16-QAM is as follows:</w:t>
        </w:r>
      </w:hyperlink>
    </w:p>
    <w:p w14:paraId="0EC5E0F2" w14:textId="77777777" w:rsidR="00796B33" w:rsidRDefault="00796B33" w:rsidP="00796B33">
      <w:pPr>
        <w:pStyle w:val="Proposal"/>
        <w:numPr>
          <w:ilvl w:val="0"/>
          <w:numId w:val="47"/>
        </w:numPr>
        <w:ind w:left="2127" w:hanging="426"/>
      </w:pPr>
      <w:r w:rsidRPr="007F7A77">
        <w:t xml:space="preserve">ρ_a = power ratio of NPDSCH EPRE to NRS EPRE in symbols without NRS, ρ_b = power ratio of NPDSCH EPRE to NRS EPRE in symbols with NRS, and ρ_c = power ratio of </w:t>
      </w:r>
      <w:r>
        <w:t>NPDSCH</w:t>
      </w:r>
      <w:r w:rsidRPr="007F7A77">
        <w:t xml:space="preserve"> EPRE to </w:t>
      </w:r>
      <w:r>
        <w:t>N</w:t>
      </w:r>
      <w:r w:rsidRPr="007F7A77">
        <w:t>RS EPRE</w:t>
      </w:r>
      <w:r>
        <w:t xml:space="preserve"> in symbols with CRS.</w:t>
      </w:r>
    </w:p>
    <w:p w14:paraId="58534E9F" w14:textId="77777777" w:rsidR="00796B33" w:rsidRPr="007E7343" w:rsidRDefault="00796B33" w:rsidP="00796B33">
      <w:pPr>
        <w:pStyle w:val="Proposal"/>
        <w:numPr>
          <w:ilvl w:val="0"/>
          <w:numId w:val="47"/>
        </w:numPr>
        <w:ind w:left="2127" w:hanging="426"/>
      </w:pPr>
      <w:r>
        <w:t>The data-to-pilot power ratios ρ_a, ρ_b, and ρ_c are each of them indicated using UE specific signalling.</w:t>
      </w:r>
    </w:p>
    <w:p w14:paraId="61D36B86" w14:textId="77777777" w:rsidR="00BB65B3" w:rsidRDefault="008E40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635409" w:history="1">
        <w:r w:rsidR="00BB65B3" w:rsidRPr="0033085A">
          <w:rPr>
            <w:rStyle w:val="Hyperlink"/>
            <w:noProof/>
          </w:rPr>
          <w:t>Proposal 8</w:t>
        </w:r>
        <w:r w:rsidR="00BB65B3">
          <w:rPr>
            <w:rFonts w:asciiTheme="minorHAnsi" w:eastAsiaTheme="minorEastAsia" w:hAnsiTheme="minorHAnsi" w:cstheme="minorBidi"/>
            <w:b w:val="0"/>
            <w:noProof/>
            <w:sz w:val="22"/>
            <w:szCs w:val="22"/>
            <w:lang w:val="sv-SE" w:eastAsia="sv-SE"/>
          </w:rPr>
          <w:tab/>
        </w:r>
        <w:r w:rsidR="00BB65B3" w:rsidRPr="0033085A">
          <w:rPr>
            <w:rStyle w:val="Hyperlink"/>
            <w:noProof/>
          </w:rPr>
          <w:t>For the support of 16-QAM in uplink, the DCI design is based on:</w:t>
        </w:r>
      </w:hyperlink>
    </w:p>
    <w:p w14:paraId="06D0D132" w14:textId="77777777" w:rsidR="00BB65B3" w:rsidRDefault="008E407C" w:rsidP="002007D6">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71635410" w:history="1">
        <w:r w:rsidR="00BB65B3" w:rsidRPr="0033085A">
          <w:rPr>
            <w:rStyle w:val="Hyperlink"/>
            <w:noProof/>
          </w:rPr>
          <w:t>Option 3: MCS field is 4 bits to indicate modulation and TBS</w:t>
        </w:r>
      </w:hyperlink>
    </w:p>
    <w:p w14:paraId="13F612A7" w14:textId="77777777" w:rsidR="00BB65B3" w:rsidRDefault="008E407C" w:rsidP="002007D6">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71635411" w:history="1">
        <w:r w:rsidR="00BB65B3" w:rsidRPr="0033085A">
          <w:rPr>
            <w:rStyle w:val="Hyperlink"/>
            <w:noProof/>
          </w:rPr>
          <w:t>o</w:t>
        </w:r>
        <w:r w:rsidR="00BB65B3">
          <w:rPr>
            <w:rFonts w:asciiTheme="minorHAnsi" w:eastAsiaTheme="minorEastAsia" w:hAnsiTheme="minorHAnsi" w:cstheme="minorBidi"/>
            <w:b w:val="0"/>
            <w:noProof/>
            <w:sz w:val="22"/>
            <w:szCs w:val="22"/>
            <w:lang w:val="sv-SE" w:eastAsia="sv-SE"/>
          </w:rPr>
          <w:tab/>
        </w:r>
        <w:r w:rsidR="00BB65B3" w:rsidRPr="0033085A">
          <w:rPr>
            <w:rStyle w:val="Hyperlink"/>
            <w:noProof/>
          </w:rPr>
          <w:t>A reserved state of MCS field indicates use of 16QAM,</w:t>
        </w:r>
      </w:hyperlink>
    </w:p>
    <w:p w14:paraId="62365FF1" w14:textId="77777777" w:rsidR="00BB65B3" w:rsidRDefault="008E407C" w:rsidP="002007D6">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71635412" w:history="1">
        <w:r w:rsidR="00BB65B3" w:rsidRPr="0033085A">
          <w:rPr>
            <w:rStyle w:val="Hyperlink"/>
            <w:noProof/>
          </w:rPr>
          <w:t>o</w:t>
        </w:r>
        <w:r w:rsidR="00BB65B3">
          <w:rPr>
            <w:rFonts w:asciiTheme="minorHAnsi" w:eastAsiaTheme="minorEastAsia" w:hAnsiTheme="minorHAnsi" w:cstheme="minorBidi"/>
            <w:b w:val="0"/>
            <w:noProof/>
            <w:sz w:val="22"/>
            <w:szCs w:val="22"/>
            <w:lang w:val="sv-SE" w:eastAsia="sv-SE"/>
          </w:rPr>
          <w:tab/>
        </w:r>
        <w:r w:rsidR="00BB65B3" w:rsidRPr="0033085A">
          <w:rPr>
            <w:rStyle w:val="Hyperlink"/>
            <w:noProof/>
          </w:rPr>
          <w:t>Repetition field indicates 16QAM MCS if 16QAM is indicated to be used.</w:t>
        </w:r>
      </w:hyperlink>
    </w:p>
    <w:p w14:paraId="5B0B8122" w14:textId="77777777" w:rsidR="00BB65B3" w:rsidRDefault="008E40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635413" w:history="1">
        <w:r w:rsidR="00BB65B3" w:rsidRPr="0033085A">
          <w:rPr>
            <w:rStyle w:val="Hyperlink"/>
            <w:noProof/>
          </w:rPr>
          <w:t>Proposal 9</w:t>
        </w:r>
        <w:r w:rsidR="00BB65B3">
          <w:rPr>
            <w:rFonts w:asciiTheme="minorHAnsi" w:eastAsiaTheme="minorEastAsia" w:hAnsiTheme="minorHAnsi" w:cstheme="minorBidi"/>
            <w:b w:val="0"/>
            <w:noProof/>
            <w:sz w:val="22"/>
            <w:szCs w:val="22"/>
            <w:lang w:val="sv-SE" w:eastAsia="sv-SE"/>
          </w:rPr>
          <w:tab/>
        </w:r>
        <w:r w:rsidR="00BB65B3" w:rsidRPr="0033085A">
          <w:rPr>
            <w:rStyle w:val="Hyperlink"/>
            <w:noProof/>
          </w:rPr>
          <w:t>In DCI format N0:</w:t>
        </w:r>
      </w:hyperlink>
    </w:p>
    <w:p w14:paraId="6365D45C" w14:textId="77777777" w:rsidR="00BB65B3" w:rsidRDefault="008E407C" w:rsidP="002007D6">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71635414" w:history="1">
        <w:r w:rsidR="00BB65B3" w:rsidRPr="0033085A">
          <w:rPr>
            <w:rStyle w:val="Hyperlink"/>
            <w:rFonts w:ascii="Wingdings" w:hAnsi="Wingdings"/>
            <w:noProof/>
          </w:rPr>
          <w:t></w:t>
        </w:r>
        <w:r w:rsidR="00BB65B3">
          <w:rPr>
            <w:rFonts w:asciiTheme="minorHAnsi" w:eastAsiaTheme="minorEastAsia" w:hAnsiTheme="minorHAnsi" w:cstheme="minorBidi"/>
            <w:b w:val="0"/>
            <w:noProof/>
            <w:sz w:val="22"/>
            <w:szCs w:val="22"/>
            <w:lang w:val="sv-SE" w:eastAsia="sv-SE"/>
          </w:rPr>
          <w:tab/>
        </w:r>
        <w:r w:rsidR="00BB65B3" w:rsidRPr="0033085A">
          <w:rPr>
            <w:rStyle w:val="Hyperlink"/>
            <w:noProof/>
          </w:rPr>
          <w:t>In the “</w:t>
        </w:r>
        <w:r w:rsidR="00BB65B3" w:rsidRPr="0033085A">
          <w:rPr>
            <w:rStyle w:val="Hyperlink"/>
            <w:i/>
            <w:iCs/>
            <w:noProof/>
          </w:rPr>
          <w:t>Modulation and coding scheme</w:t>
        </w:r>
        <w:r w:rsidR="00BB65B3" w:rsidRPr="0033085A">
          <w:rPr>
            <w:rStyle w:val="Hyperlink"/>
            <w:noProof/>
          </w:rPr>
          <w:t>” field, the reserved state “1111” is used to indicate the use of 16-QAM in UL.</w:t>
        </w:r>
      </w:hyperlink>
    </w:p>
    <w:p w14:paraId="5490B38C" w14:textId="77777777" w:rsidR="00BB65B3" w:rsidRDefault="008E407C" w:rsidP="002007D6">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71635415" w:history="1">
        <w:r w:rsidR="00BB65B3" w:rsidRPr="0033085A">
          <w:rPr>
            <w:rStyle w:val="Hyperlink"/>
            <w:rFonts w:ascii="Wingdings" w:hAnsi="Wingdings"/>
            <w:noProof/>
          </w:rPr>
          <w:t></w:t>
        </w:r>
        <w:r w:rsidR="00BB65B3">
          <w:rPr>
            <w:rFonts w:asciiTheme="minorHAnsi" w:eastAsiaTheme="minorEastAsia" w:hAnsiTheme="minorHAnsi" w:cstheme="minorBidi"/>
            <w:b w:val="0"/>
            <w:noProof/>
            <w:sz w:val="22"/>
            <w:szCs w:val="22"/>
            <w:lang w:val="sv-SE" w:eastAsia="sv-SE"/>
          </w:rPr>
          <w:tab/>
        </w:r>
        <w:r w:rsidR="00BB65B3" w:rsidRPr="0033085A">
          <w:rPr>
            <w:rStyle w:val="Hyperlink"/>
            <w:noProof/>
          </w:rPr>
          <w:t>If the use of 16-QAM in UL has been indicated, in the “</w:t>
        </w:r>
        <w:r w:rsidR="00BB65B3" w:rsidRPr="0033085A">
          <w:rPr>
            <w:rStyle w:val="Hyperlink"/>
            <w:i/>
            <w:iCs/>
            <w:noProof/>
          </w:rPr>
          <w:t>Repetition number</w:t>
        </w:r>
        <w:r w:rsidR="00BB65B3" w:rsidRPr="0033085A">
          <w:rPr>
            <w:rStyle w:val="Hyperlink"/>
            <w:noProof/>
          </w:rPr>
          <w:t>” field, the 3 bits are used to indicate the TBS indices for 16-QAM in UL spanning from index 14 to 21.</w:t>
        </w:r>
      </w:hyperlink>
    </w:p>
    <w:p w14:paraId="4E44F1CD" w14:textId="77777777" w:rsidR="00BB65B3" w:rsidRDefault="008E40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635416" w:history="1">
        <w:r w:rsidR="00BB65B3" w:rsidRPr="0033085A">
          <w:rPr>
            <w:rStyle w:val="Hyperlink"/>
            <w:noProof/>
          </w:rPr>
          <w:t>Proposal 10</w:t>
        </w:r>
        <w:r w:rsidR="00BB65B3">
          <w:rPr>
            <w:rFonts w:asciiTheme="minorHAnsi" w:eastAsiaTheme="minorEastAsia" w:hAnsiTheme="minorHAnsi" w:cstheme="minorBidi"/>
            <w:b w:val="0"/>
            <w:noProof/>
            <w:sz w:val="22"/>
            <w:szCs w:val="22"/>
            <w:lang w:val="sv-SE" w:eastAsia="sv-SE"/>
          </w:rPr>
          <w:tab/>
        </w:r>
        <w:r w:rsidR="00BB65B3" w:rsidRPr="0033085A">
          <w:rPr>
            <w:rStyle w:val="Hyperlink"/>
            <w:noProof/>
          </w:rPr>
          <w:t>Incorporate into the UE’s transmit power control equation, a new term to boost the power when the number of bits per RE is increased due to the use of 16-QAM in UL.</w:t>
        </w:r>
      </w:hyperlink>
    </w:p>
    <w:p w14:paraId="45FD2D8C" w14:textId="77777777" w:rsidR="00BB65B3" w:rsidRDefault="008E407C" w:rsidP="002007D6">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71635417" w:history="1">
        <w:r w:rsidR="00BB65B3" w:rsidRPr="0033085A">
          <w:rPr>
            <w:rStyle w:val="Hyperlink"/>
            <w:noProof/>
          </w:rPr>
          <w:t>FFS: Details on the power increase provided by the new term.</w:t>
        </w:r>
      </w:hyperlink>
    </w:p>
    <w:p w14:paraId="1CC9392A" w14:textId="77777777" w:rsidR="00BB65B3" w:rsidRDefault="008E40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635418" w:history="1">
        <w:r w:rsidR="00BB65B3" w:rsidRPr="0033085A">
          <w:rPr>
            <w:rStyle w:val="Hyperlink"/>
            <w:noProof/>
          </w:rPr>
          <w:t>Proposal 11</w:t>
        </w:r>
        <w:r w:rsidR="00BB65B3">
          <w:rPr>
            <w:rFonts w:asciiTheme="minorHAnsi" w:eastAsiaTheme="minorEastAsia" w:hAnsiTheme="minorHAnsi" w:cstheme="minorBidi"/>
            <w:b w:val="0"/>
            <w:noProof/>
            <w:sz w:val="22"/>
            <w:szCs w:val="22"/>
            <w:lang w:val="sv-SE" w:eastAsia="sv-SE"/>
          </w:rPr>
          <w:tab/>
        </w:r>
        <w:r w:rsidR="00BB65B3" w:rsidRPr="0033085A">
          <w:rPr>
            <w:rStyle w:val="Hyperlink"/>
            <w:noProof/>
          </w:rPr>
          <w:t>16-QAM in UL supports Dedicated-PUR which can be enabled/disabled.</w:t>
        </w:r>
      </w:hyperlink>
    </w:p>
    <w:p w14:paraId="6EA2C9E9" w14:textId="77777777" w:rsidR="00BB65B3" w:rsidRDefault="008E40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635419" w:history="1">
        <w:r w:rsidR="00BB65B3" w:rsidRPr="0033085A">
          <w:rPr>
            <w:rStyle w:val="Hyperlink"/>
            <w:noProof/>
          </w:rPr>
          <w:t>Proposal 12</w:t>
        </w:r>
        <w:r w:rsidR="00BB65B3">
          <w:rPr>
            <w:rFonts w:asciiTheme="minorHAnsi" w:eastAsiaTheme="minorEastAsia" w:hAnsiTheme="minorHAnsi" w:cstheme="minorBidi"/>
            <w:b w:val="0"/>
            <w:noProof/>
            <w:sz w:val="22"/>
            <w:szCs w:val="22"/>
            <w:lang w:val="sv-SE" w:eastAsia="sv-SE"/>
          </w:rPr>
          <w:tab/>
        </w:r>
        <w:r w:rsidR="00BB65B3" w:rsidRPr="0033085A">
          <w:rPr>
            <w:rStyle w:val="Hyperlink"/>
            <w:noProof/>
          </w:rPr>
          <w:t>16-QAM in DL supports multi-TB scheduling which can be enabled/disabled.</w:t>
        </w:r>
      </w:hyperlink>
    </w:p>
    <w:p w14:paraId="5A1EB9E8" w14:textId="7628DEAF" w:rsidR="006E1C82" w:rsidRPr="00CE0424" w:rsidRDefault="006E1C82" w:rsidP="006E1C82">
      <w:pPr>
        <w:pStyle w:val="BodyText"/>
        <w:rPr>
          <w:b/>
          <w:bCs/>
        </w:rPr>
      </w:pPr>
      <w:r>
        <w:rPr>
          <w:b/>
          <w:bCs/>
          <w:lang w:val="en-US"/>
        </w:rPr>
        <w:fldChar w:fldCharType="end"/>
      </w:r>
      <w:bookmarkStart w:id="59" w:name="_In-sequence_SDU_delivery"/>
      <w:bookmarkEnd w:id="59"/>
    </w:p>
    <w:p w14:paraId="7203AEF7" w14:textId="7B05A91E" w:rsidR="00F507D1" w:rsidRPr="00CE0424" w:rsidRDefault="00431A33" w:rsidP="00CE0424">
      <w:pPr>
        <w:pStyle w:val="Heading1"/>
      </w:pPr>
      <w:r>
        <w:t>6</w:t>
      </w:r>
      <w:r w:rsidR="00DF5DE2">
        <w:tab/>
      </w:r>
      <w:r w:rsidR="00F507D1" w:rsidRPr="00CE0424">
        <w:t>References</w:t>
      </w:r>
    </w:p>
    <w:bookmarkStart w:id="60" w:name="_Ref174151459"/>
    <w:bookmarkStart w:id="61" w:name="_Ref189809556"/>
    <w:bookmarkStart w:id="62" w:name="_Ref525824664"/>
    <w:bookmarkStart w:id="63" w:name="_Hlk4751152"/>
    <w:p w14:paraId="42A419F1" w14:textId="7C8A2176" w:rsidR="00863330" w:rsidRDefault="00D3494B" w:rsidP="00863330">
      <w:pPr>
        <w:pStyle w:val="Reference"/>
      </w:pPr>
      <w:r>
        <w:fldChar w:fldCharType="begin"/>
      </w:r>
      <w:r>
        <w:instrText xml:space="preserve"> HYPERLINK "http://www.3gpp.org/ftp/TSG_RAN/TSG_RAN/TSGR_88e/Docs/RP-201306.zip" </w:instrText>
      </w:r>
      <w:r>
        <w:fldChar w:fldCharType="separate"/>
      </w:r>
      <w:r w:rsidRPr="00D3494B">
        <w:rPr>
          <w:rStyle w:val="Hyperlink"/>
        </w:rPr>
        <w:t>RP-201306</w:t>
      </w:r>
      <w:r>
        <w:fldChar w:fldCharType="end"/>
      </w:r>
      <w:r w:rsidR="00863330" w:rsidRPr="000227F6">
        <w:t xml:space="preserve">, </w:t>
      </w:r>
      <w:r w:rsidR="004C4851">
        <w:t>"</w:t>
      </w:r>
      <w:r w:rsidR="00106987" w:rsidRPr="00106987">
        <w:t>WID</w:t>
      </w:r>
      <w:r w:rsidR="004C4851">
        <w:t xml:space="preserve"> revision</w:t>
      </w:r>
      <w:r w:rsidR="00106987" w:rsidRPr="00106987">
        <w:t xml:space="preserve">: </w:t>
      </w:r>
      <w:r>
        <w:t>Additional</w:t>
      </w:r>
      <w:r w:rsidR="00875FFA" w:rsidRPr="00875FFA">
        <w:t xml:space="preserve"> enhancements for NB-IoT and LTE-MTC</w:t>
      </w:r>
      <w:r w:rsidR="004C4851">
        <w:t>”</w:t>
      </w:r>
      <w:r w:rsidR="00106987" w:rsidRPr="00106987">
        <w:t>, RAN #8</w:t>
      </w:r>
      <w:r>
        <w:t>8e</w:t>
      </w:r>
      <w:r w:rsidR="00106987" w:rsidRPr="00106987">
        <w:t xml:space="preserve">, </w:t>
      </w:r>
      <w:r>
        <w:t>Electronic Meeting, June</w:t>
      </w:r>
      <w:r w:rsidR="00875FFA" w:rsidRPr="00875FFA">
        <w:t xml:space="preserve"> </w:t>
      </w:r>
      <w:r>
        <w:t>2</w:t>
      </w:r>
      <w:r w:rsidR="00875FFA" w:rsidRPr="00875FFA">
        <w:t>9</w:t>
      </w:r>
      <w:r w:rsidR="00875FFA" w:rsidRPr="00875FFA">
        <w:rPr>
          <w:vertAlign w:val="superscript"/>
        </w:rPr>
        <w:t>th</w:t>
      </w:r>
      <w:r w:rsidR="004C4851">
        <w:t xml:space="preserve"> –</w:t>
      </w:r>
      <w:r w:rsidR="008B0BD8">
        <w:t xml:space="preserve"> July</w:t>
      </w:r>
      <w:r w:rsidR="004C4851">
        <w:t xml:space="preserve"> </w:t>
      </w:r>
      <w:r>
        <w:t>3</w:t>
      </w:r>
      <w:r w:rsidRPr="00D3494B">
        <w:rPr>
          <w:vertAlign w:val="superscript"/>
        </w:rPr>
        <w:t>rd</w:t>
      </w:r>
      <w:r w:rsidR="00875FFA" w:rsidRPr="00875FFA">
        <w:t>, 20</w:t>
      </w:r>
      <w:r>
        <w:t>20</w:t>
      </w:r>
      <w:r w:rsidR="00863330" w:rsidRPr="000227F6">
        <w:t>.</w:t>
      </w:r>
    </w:p>
    <w:p w14:paraId="63F78C2F" w14:textId="77777777" w:rsidR="00203B00" w:rsidRDefault="008E407C" w:rsidP="00203B00">
      <w:pPr>
        <w:pStyle w:val="Reference"/>
        <w:rPr>
          <w:rStyle w:val="IvDtabletextChar"/>
          <w:rFonts w:cs="Arial"/>
          <w:iCs/>
          <w:szCs w:val="22"/>
        </w:rPr>
      </w:pPr>
      <w:hyperlink r:id="rId15" w:history="1">
        <w:r w:rsidR="00203B00" w:rsidRPr="00EB2913">
          <w:rPr>
            <w:rStyle w:val="Hyperlink"/>
            <w:rFonts w:cs="Arial"/>
            <w:iCs/>
            <w:spacing w:val="2"/>
            <w:szCs w:val="22"/>
          </w:rPr>
          <w:t>Session notes for 8.9</w:t>
        </w:r>
      </w:hyperlink>
      <w:r w:rsidR="00203B00" w:rsidRPr="00865213">
        <w:rPr>
          <w:rStyle w:val="IvDtabletextChar"/>
          <w:rFonts w:cs="Arial"/>
          <w:iCs/>
          <w:szCs w:val="22"/>
        </w:rPr>
        <w:t xml:space="preserve"> (Rel-17 enhancements for NB-IoT and LTE-MTC), Ad-hoc chair (Samsung), 3GPP TSG RAN WG1 Meeting #104</w:t>
      </w:r>
      <w:r w:rsidR="00203B00">
        <w:rPr>
          <w:rStyle w:val="IvDtabletextChar"/>
          <w:rFonts w:cs="Arial"/>
          <w:iCs/>
          <w:szCs w:val="22"/>
        </w:rPr>
        <w:t>-bis</w:t>
      </w:r>
      <w:r w:rsidR="00203B00" w:rsidRPr="00865213">
        <w:rPr>
          <w:rStyle w:val="IvDtabletextChar"/>
          <w:rFonts w:cs="Arial"/>
          <w:iCs/>
          <w:szCs w:val="22"/>
        </w:rPr>
        <w:t xml:space="preserve">-e, e-Meeting, </w:t>
      </w:r>
      <w:r w:rsidR="00203B00" w:rsidRPr="001F489C">
        <w:rPr>
          <w:rStyle w:val="IvDtabletextChar"/>
          <w:rFonts w:cs="Arial"/>
          <w:iCs/>
          <w:szCs w:val="22"/>
        </w:rPr>
        <w:t>April 12th – 20th, 2021</w:t>
      </w:r>
      <w:r w:rsidR="00203B00" w:rsidRPr="00865213">
        <w:rPr>
          <w:rStyle w:val="IvDtabletextChar"/>
          <w:rFonts w:cs="Arial"/>
          <w:iCs/>
          <w:szCs w:val="22"/>
        </w:rPr>
        <w:t>.</w:t>
      </w:r>
    </w:p>
    <w:p w14:paraId="61E024C2" w14:textId="78AF5364" w:rsidR="009A6461" w:rsidRDefault="009A6461" w:rsidP="00203B00">
      <w:pPr>
        <w:pStyle w:val="Reference"/>
      </w:pPr>
      <w:r w:rsidRPr="00C73879">
        <w:t>Session notes for 8.9 (Rel-17 enhancements for NB-IoT and LTE-MTC)</w:t>
      </w:r>
      <w:r w:rsidRPr="002A6804">
        <w:t>, Ad-hoc chair (Samsung), 3GPP TSG RAN WG1 Meeting #10</w:t>
      </w:r>
      <w:r>
        <w:t>4</w:t>
      </w:r>
      <w:r w:rsidRPr="002A6804">
        <w:t xml:space="preserve">-e, e-Meeting, </w:t>
      </w:r>
      <w:r w:rsidRPr="00C73879">
        <w:t>January 25</w:t>
      </w:r>
      <w:r w:rsidRPr="00203B00">
        <w:rPr>
          <w:vertAlign w:val="superscript"/>
        </w:rPr>
        <w:t>th</w:t>
      </w:r>
      <w:r w:rsidRPr="00C73879">
        <w:t xml:space="preserve"> – February 5</w:t>
      </w:r>
      <w:r w:rsidRPr="00203B00">
        <w:rPr>
          <w:vertAlign w:val="superscript"/>
        </w:rPr>
        <w:t>th</w:t>
      </w:r>
      <w:r w:rsidRPr="00C73879">
        <w:t>, 2021</w:t>
      </w:r>
      <w:r w:rsidRPr="002A6804">
        <w:t>.</w:t>
      </w:r>
    </w:p>
    <w:p w14:paraId="791F2E04" w14:textId="321493E8" w:rsidR="00203B00" w:rsidRDefault="008E407C" w:rsidP="00203B00">
      <w:pPr>
        <w:pStyle w:val="Reference"/>
      </w:pPr>
      <w:hyperlink r:id="rId16" w:history="1">
        <w:r w:rsidR="00203B00" w:rsidRPr="00CB2A10">
          <w:rPr>
            <w:rStyle w:val="Hyperlink"/>
          </w:rPr>
          <w:t>3GPP TS 36.133</w:t>
        </w:r>
      </w:hyperlink>
      <w:r w:rsidR="00203B00">
        <w:t>, “</w:t>
      </w:r>
      <w:r w:rsidR="00203B00" w:rsidRPr="00CB2A10">
        <w:t>Evolved Universal Terrestrial Radio Access (E-UTRA); Requirements for support of radio resource management</w:t>
      </w:r>
      <w:r w:rsidR="00203B00">
        <w:t>”, v16.6.0.</w:t>
      </w:r>
    </w:p>
    <w:p w14:paraId="3A5860C4" w14:textId="77777777" w:rsidR="00CD33F2" w:rsidRDefault="008E407C" w:rsidP="00CD33F2">
      <w:pPr>
        <w:pStyle w:val="Reference"/>
      </w:pPr>
      <w:hyperlink r:id="rId17" w:history="1">
        <w:r w:rsidR="00CD33F2" w:rsidRPr="002B6EB5">
          <w:rPr>
            <w:rStyle w:val="Hyperlink"/>
          </w:rPr>
          <w:t>R1-2005529</w:t>
        </w:r>
      </w:hyperlink>
      <w:r w:rsidR="00CD33F2">
        <w:t>, “</w:t>
      </w:r>
      <w:r w:rsidR="00CD33F2" w:rsidRPr="005F71F5">
        <w:t>Support of 16-QAM for NB-IoT</w:t>
      </w:r>
      <w:r w:rsidR="00CD33F2">
        <w:t>,”</w:t>
      </w:r>
      <w:r w:rsidR="00CD33F2" w:rsidRPr="005F71F5">
        <w:t xml:space="preserve"> Nokia, Nokia Shanghai Bell</w:t>
      </w:r>
      <w:r w:rsidR="00CD33F2">
        <w:t xml:space="preserve">, </w:t>
      </w:r>
      <w:r w:rsidR="00CD33F2" w:rsidRPr="005F71F5">
        <w:t>RAN1 #102e, August 17th – 28th, 20</w:t>
      </w:r>
      <w:r w:rsidR="00CD33F2">
        <w:t>20</w:t>
      </w:r>
      <w:r w:rsidR="00CD33F2" w:rsidRPr="005F71F5">
        <w:t>.</w:t>
      </w:r>
    </w:p>
    <w:p w14:paraId="2D4F5100" w14:textId="1C70905B" w:rsidR="00B8561C" w:rsidRDefault="008E407C" w:rsidP="00EF1591">
      <w:pPr>
        <w:pStyle w:val="Reference"/>
      </w:pPr>
      <w:hyperlink r:id="rId18" w:history="1">
        <w:r w:rsidR="00CD33F2" w:rsidRPr="002B6EB5">
          <w:rPr>
            <w:rStyle w:val="Hyperlink"/>
          </w:rPr>
          <w:t>R1-2006192</w:t>
        </w:r>
      </w:hyperlink>
      <w:r w:rsidR="00CD33F2">
        <w:t>, “</w:t>
      </w:r>
      <w:r w:rsidR="00CD33F2" w:rsidRPr="005F71F5">
        <w:t>Support of 16-QAM for NB-IoT</w:t>
      </w:r>
      <w:r w:rsidR="00CD33F2">
        <w:t xml:space="preserve">,” Qualcomm Incorporated, </w:t>
      </w:r>
      <w:r w:rsidR="00CD33F2" w:rsidRPr="005F71F5">
        <w:t>RAN1 #102e, August 17th – 28th, 20</w:t>
      </w:r>
      <w:r w:rsidR="00CD33F2">
        <w:t>20</w:t>
      </w:r>
      <w:r w:rsidR="00CD33F2" w:rsidRPr="005F71F5">
        <w:t>.</w:t>
      </w:r>
      <w:bookmarkEnd w:id="60"/>
      <w:bookmarkEnd w:id="61"/>
      <w:bookmarkEnd w:id="62"/>
      <w:bookmarkEnd w:id="63"/>
    </w:p>
    <w:sectPr w:rsidR="00B8561C" w:rsidSect="007F4FA6">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A460AE" w14:textId="77777777" w:rsidR="008E407C" w:rsidRDefault="008E407C">
      <w:r>
        <w:separator/>
      </w:r>
    </w:p>
  </w:endnote>
  <w:endnote w:type="continuationSeparator" w:id="0">
    <w:p w14:paraId="0C4D0682" w14:textId="77777777" w:rsidR="008E407C" w:rsidRDefault="008E407C">
      <w:r>
        <w:continuationSeparator/>
      </w:r>
    </w:p>
  </w:endnote>
  <w:endnote w:type="continuationNotice" w:id="1">
    <w:p w14:paraId="3C6ED8BF" w14:textId="77777777" w:rsidR="008E407C" w:rsidRDefault="008E40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77777777" w:rsidR="00BB65B3" w:rsidRDefault="00BB65B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7491AB" w14:textId="77777777" w:rsidR="008E407C" w:rsidRDefault="008E407C">
      <w:r>
        <w:separator/>
      </w:r>
    </w:p>
  </w:footnote>
  <w:footnote w:type="continuationSeparator" w:id="0">
    <w:p w14:paraId="0AAC3473" w14:textId="77777777" w:rsidR="008E407C" w:rsidRDefault="008E407C">
      <w:r>
        <w:continuationSeparator/>
      </w:r>
    </w:p>
  </w:footnote>
  <w:footnote w:type="continuationNotice" w:id="1">
    <w:p w14:paraId="388479B4" w14:textId="77777777" w:rsidR="008E407C" w:rsidRDefault="008E40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BB65B3" w:rsidRDefault="00BB65B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8F84AB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67213FC"/>
    <w:lvl w:ilvl="0">
      <w:start w:val="1"/>
      <w:numFmt w:val="decimal"/>
      <w:lvlText w:val="%1."/>
      <w:lvlJc w:val="left"/>
      <w:pPr>
        <w:tabs>
          <w:tab w:val="num" w:pos="1440"/>
        </w:tabs>
        <w:ind w:left="1440" w:hanging="360"/>
      </w:pPr>
    </w:lvl>
  </w:abstractNum>
  <w:abstractNum w:abstractNumId="2" w15:restartNumberingAfterBreak="0">
    <w:nsid w:val="FFFFFF7E"/>
    <w:multiLevelType w:val="hybridMultilevel"/>
    <w:tmpl w:val="8D74240A"/>
    <w:lvl w:ilvl="0" w:tplc="8B28E5D0">
      <w:start w:val="1"/>
      <w:numFmt w:val="lowerRoman"/>
      <w:pStyle w:val="ListNumber3"/>
      <w:lvlText w:val="%1."/>
      <w:lvlJc w:val="right"/>
      <w:pPr>
        <w:ind w:left="926" w:hanging="360"/>
      </w:pPr>
    </w:lvl>
    <w:lvl w:ilvl="1" w:tplc="FDFE7C82">
      <w:numFmt w:val="decimal"/>
      <w:lvlText w:val=""/>
      <w:lvlJc w:val="left"/>
    </w:lvl>
    <w:lvl w:ilvl="2" w:tplc="15E2D188">
      <w:numFmt w:val="decimal"/>
      <w:lvlText w:val=""/>
      <w:lvlJc w:val="left"/>
    </w:lvl>
    <w:lvl w:ilvl="3" w:tplc="C34E263E">
      <w:numFmt w:val="decimal"/>
      <w:lvlText w:val=""/>
      <w:lvlJc w:val="left"/>
    </w:lvl>
    <w:lvl w:ilvl="4" w:tplc="718455E8">
      <w:numFmt w:val="decimal"/>
      <w:lvlText w:val=""/>
      <w:lvlJc w:val="left"/>
    </w:lvl>
    <w:lvl w:ilvl="5" w:tplc="325EC47E">
      <w:numFmt w:val="decimal"/>
      <w:lvlText w:val=""/>
      <w:lvlJc w:val="left"/>
    </w:lvl>
    <w:lvl w:ilvl="6" w:tplc="8EAE36EA">
      <w:numFmt w:val="decimal"/>
      <w:lvlText w:val=""/>
      <w:lvlJc w:val="left"/>
    </w:lvl>
    <w:lvl w:ilvl="7" w:tplc="17741B20">
      <w:numFmt w:val="decimal"/>
      <w:lvlText w:val=""/>
      <w:lvlJc w:val="left"/>
    </w:lvl>
    <w:lvl w:ilvl="8" w:tplc="DC5EACD8">
      <w:numFmt w:val="decimal"/>
      <w:lvlText w:val=""/>
      <w:lvlJc w:val="left"/>
    </w:lvl>
  </w:abstractNum>
  <w:abstractNum w:abstractNumId="3" w15:restartNumberingAfterBreak="0">
    <w:nsid w:val="00AE3456"/>
    <w:multiLevelType w:val="hybridMultilevel"/>
    <w:tmpl w:val="117AD85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4" w15:restartNumberingAfterBreak="0">
    <w:nsid w:val="07F1597C"/>
    <w:multiLevelType w:val="hybridMultilevel"/>
    <w:tmpl w:val="58DEB172"/>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5" w15:restartNumberingAfterBreak="0">
    <w:nsid w:val="0C2B052C"/>
    <w:multiLevelType w:val="hybridMultilevel"/>
    <w:tmpl w:val="B11AC256"/>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7E58C0"/>
    <w:multiLevelType w:val="hybridMultilevel"/>
    <w:tmpl w:val="1DFEFC50"/>
    <w:lvl w:ilvl="0" w:tplc="B5A8667A">
      <w:numFmt w:val="bullet"/>
      <w:lvlText w:val="-"/>
      <w:lvlJc w:val="left"/>
      <w:pPr>
        <w:ind w:left="2421" w:hanging="360"/>
      </w:pPr>
      <w:rPr>
        <w:rFonts w:ascii="Times" w:eastAsia="Batang" w:hAnsi="Times" w:cs="Times"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8" w15:restartNumberingAfterBreak="0">
    <w:nsid w:val="10BA74CA"/>
    <w:multiLevelType w:val="multilevel"/>
    <w:tmpl w:val="10BA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265B7C"/>
    <w:multiLevelType w:val="hybridMultilevel"/>
    <w:tmpl w:val="FB56B86E"/>
    <w:lvl w:ilvl="0" w:tplc="7CAAFC78">
      <w:start w:val="9"/>
      <w:numFmt w:val="bullet"/>
      <w:lvlText w:val="-"/>
      <w:lvlJc w:val="left"/>
      <w:pPr>
        <w:ind w:left="927" w:hanging="360"/>
      </w:pPr>
      <w:rPr>
        <w:rFonts w:ascii="Arial" w:eastAsia="SimSun" w:hAnsi="Arial" w:cs="Arial"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0" w15:restartNumberingAfterBreak="0">
    <w:nsid w:val="191C6D37"/>
    <w:multiLevelType w:val="hybridMultilevel"/>
    <w:tmpl w:val="3B2C86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BD60F05"/>
    <w:multiLevelType w:val="hybridMultilevel"/>
    <w:tmpl w:val="0CE2BCD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3830297"/>
    <w:multiLevelType w:val="hybridMultilevel"/>
    <w:tmpl w:val="62B2BBDC"/>
    <w:lvl w:ilvl="0" w:tplc="B5A8667A">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2A36609"/>
    <w:multiLevelType w:val="hybridMultilevel"/>
    <w:tmpl w:val="4F780F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B53D3B"/>
    <w:multiLevelType w:val="hybridMultilevel"/>
    <w:tmpl w:val="C5F610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5FD5D34"/>
    <w:multiLevelType w:val="hybridMultilevel"/>
    <w:tmpl w:val="5478FA7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686711C"/>
    <w:multiLevelType w:val="hybridMultilevel"/>
    <w:tmpl w:val="0B62E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422AB3"/>
    <w:multiLevelType w:val="hybridMultilevel"/>
    <w:tmpl w:val="D57479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9C2085A"/>
    <w:multiLevelType w:val="hybridMultilevel"/>
    <w:tmpl w:val="17CC5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22B27CA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736EAF8C">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hybridMultilevel"/>
    <w:tmpl w:val="947A7058"/>
    <w:lvl w:ilvl="0" w:tplc="DBF86910">
      <w:start w:val="1"/>
      <w:numFmt w:val="bullet"/>
      <w:pStyle w:val="textintend1"/>
      <w:lvlText w:val=""/>
      <w:lvlJc w:val="left"/>
      <w:pPr>
        <w:tabs>
          <w:tab w:val="num" w:pos="992"/>
        </w:tabs>
        <w:ind w:left="992" w:hanging="425"/>
      </w:pPr>
      <w:rPr>
        <w:rFonts w:ascii="Symbol" w:hAnsi="Symbol" w:hint="default"/>
      </w:rPr>
    </w:lvl>
    <w:lvl w:ilvl="1" w:tplc="1244328A">
      <w:numFmt w:val="decimal"/>
      <w:lvlText w:val=""/>
      <w:lvlJc w:val="left"/>
    </w:lvl>
    <w:lvl w:ilvl="2" w:tplc="28B073D0">
      <w:numFmt w:val="decimal"/>
      <w:lvlText w:val=""/>
      <w:lvlJc w:val="left"/>
    </w:lvl>
    <w:lvl w:ilvl="3" w:tplc="85BAC218">
      <w:numFmt w:val="decimal"/>
      <w:lvlText w:val=""/>
      <w:lvlJc w:val="left"/>
    </w:lvl>
    <w:lvl w:ilvl="4" w:tplc="9588250E">
      <w:numFmt w:val="decimal"/>
      <w:lvlText w:val=""/>
      <w:lvlJc w:val="left"/>
    </w:lvl>
    <w:lvl w:ilvl="5" w:tplc="03289888">
      <w:numFmt w:val="decimal"/>
      <w:lvlText w:val=""/>
      <w:lvlJc w:val="left"/>
    </w:lvl>
    <w:lvl w:ilvl="6" w:tplc="01764CE0">
      <w:numFmt w:val="decimal"/>
      <w:lvlText w:val=""/>
      <w:lvlJc w:val="left"/>
    </w:lvl>
    <w:lvl w:ilvl="7" w:tplc="BB8ED778">
      <w:numFmt w:val="decimal"/>
      <w:lvlText w:val=""/>
      <w:lvlJc w:val="left"/>
    </w:lvl>
    <w:lvl w:ilvl="8" w:tplc="AD504D38">
      <w:numFmt w:val="decimal"/>
      <w:lvlText w:val=""/>
      <w:lvlJc w:val="left"/>
    </w:lvl>
  </w:abstractNum>
  <w:abstractNum w:abstractNumId="27" w15:restartNumberingAfterBreak="0">
    <w:nsid w:val="4B443BC2"/>
    <w:multiLevelType w:val="hybridMultilevel"/>
    <w:tmpl w:val="0E0AE49A"/>
    <w:lvl w:ilvl="0" w:tplc="7CAAFC78">
      <w:start w:val="9"/>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3479D0"/>
    <w:multiLevelType w:val="hybridMultilevel"/>
    <w:tmpl w:val="DB2A6F1E"/>
    <w:lvl w:ilvl="0" w:tplc="7CAAFC78">
      <w:start w:val="9"/>
      <w:numFmt w:val="bullet"/>
      <w:lvlText w:val="-"/>
      <w:lvlJc w:val="left"/>
      <w:pPr>
        <w:ind w:left="2421" w:hanging="360"/>
      </w:pPr>
      <w:rPr>
        <w:rFonts w:ascii="Arial" w:eastAsia="SimSun" w:hAnsi="Arial" w:cs="Aria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4A6873"/>
    <w:multiLevelType w:val="hybridMultilevel"/>
    <w:tmpl w:val="8CF86CB2"/>
    <w:lvl w:ilvl="0" w:tplc="85DE10A6">
      <w:start w:val="1"/>
      <w:numFmt w:val="bullet"/>
      <w:lvlText w:val=""/>
      <w:lvlJc w:val="left"/>
      <w:pPr>
        <w:ind w:left="2421" w:hanging="360"/>
      </w:pPr>
      <w:rPr>
        <w:rFonts w:ascii="Wingdings" w:hAnsi="Wingdings"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3" w15:restartNumberingAfterBreak="0">
    <w:nsid w:val="570A59F3"/>
    <w:multiLevelType w:val="hybridMultilevel"/>
    <w:tmpl w:val="B324FC8C"/>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4" w15:restartNumberingAfterBreak="0">
    <w:nsid w:val="589768EB"/>
    <w:multiLevelType w:val="hybridMultilevel"/>
    <w:tmpl w:val="34D07714"/>
    <w:lvl w:ilvl="0" w:tplc="041D0005">
      <w:start w:val="1"/>
      <w:numFmt w:val="bullet"/>
      <w:lvlText w:val=""/>
      <w:lvlJc w:val="left"/>
      <w:pPr>
        <w:ind w:left="2421" w:hanging="360"/>
      </w:pPr>
      <w:rPr>
        <w:rFonts w:ascii="Wingdings" w:hAnsi="Wingdings"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7044853"/>
    <w:multiLevelType w:val="hybridMultilevel"/>
    <w:tmpl w:val="AAA02FC4"/>
    <w:lvl w:ilvl="0" w:tplc="7CAAFC78">
      <w:start w:val="9"/>
      <w:numFmt w:val="bullet"/>
      <w:lvlText w:val="-"/>
      <w:lvlJc w:val="left"/>
      <w:pPr>
        <w:ind w:left="2160" w:hanging="360"/>
      </w:pPr>
      <w:rPr>
        <w:rFonts w:ascii="Arial" w:eastAsia="SimSun" w:hAnsi="Arial" w:cs="Arial"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38" w15:restartNumberingAfterBreak="0">
    <w:nsid w:val="6CB36620"/>
    <w:multiLevelType w:val="hybridMultilevel"/>
    <w:tmpl w:val="32ECCD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6FB670EB"/>
    <w:multiLevelType w:val="hybridMultilevel"/>
    <w:tmpl w:val="770ECC8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4E3BA7"/>
    <w:multiLevelType w:val="hybridMultilevel"/>
    <w:tmpl w:val="853E1AC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9DD66FC"/>
    <w:multiLevelType w:val="hybridMultilevel"/>
    <w:tmpl w:val="2CD43826"/>
    <w:lvl w:ilvl="0" w:tplc="B5A8667A">
      <w:numFmt w:val="bullet"/>
      <w:lvlText w:val="-"/>
      <w:lvlJc w:val="left"/>
      <w:pPr>
        <w:ind w:left="2781" w:hanging="360"/>
      </w:pPr>
      <w:rPr>
        <w:rFonts w:ascii="Times" w:eastAsia="Batang" w:hAnsi="Times" w:cs="Times" w:hint="default"/>
      </w:rPr>
    </w:lvl>
    <w:lvl w:ilvl="1" w:tplc="B5A8667A">
      <w:numFmt w:val="bullet"/>
      <w:lvlText w:val="-"/>
      <w:lvlJc w:val="left"/>
      <w:pPr>
        <w:ind w:left="3501" w:hanging="360"/>
      </w:pPr>
      <w:rPr>
        <w:rFonts w:ascii="Times" w:eastAsia="Batang" w:hAnsi="Times" w:cs="Times" w:hint="default"/>
      </w:rPr>
    </w:lvl>
    <w:lvl w:ilvl="2" w:tplc="041D0005" w:tentative="1">
      <w:start w:val="1"/>
      <w:numFmt w:val="bullet"/>
      <w:lvlText w:val=""/>
      <w:lvlJc w:val="left"/>
      <w:pPr>
        <w:ind w:left="4221" w:hanging="360"/>
      </w:pPr>
      <w:rPr>
        <w:rFonts w:ascii="Wingdings" w:hAnsi="Wingdings" w:hint="default"/>
      </w:rPr>
    </w:lvl>
    <w:lvl w:ilvl="3" w:tplc="041D0001" w:tentative="1">
      <w:start w:val="1"/>
      <w:numFmt w:val="bullet"/>
      <w:lvlText w:val=""/>
      <w:lvlJc w:val="left"/>
      <w:pPr>
        <w:ind w:left="4941" w:hanging="360"/>
      </w:pPr>
      <w:rPr>
        <w:rFonts w:ascii="Symbol" w:hAnsi="Symbol" w:hint="default"/>
      </w:rPr>
    </w:lvl>
    <w:lvl w:ilvl="4" w:tplc="041D0003" w:tentative="1">
      <w:start w:val="1"/>
      <w:numFmt w:val="bullet"/>
      <w:lvlText w:val="o"/>
      <w:lvlJc w:val="left"/>
      <w:pPr>
        <w:ind w:left="5661" w:hanging="360"/>
      </w:pPr>
      <w:rPr>
        <w:rFonts w:ascii="Courier New" w:hAnsi="Courier New" w:cs="Courier New" w:hint="default"/>
      </w:rPr>
    </w:lvl>
    <w:lvl w:ilvl="5" w:tplc="041D0005" w:tentative="1">
      <w:start w:val="1"/>
      <w:numFmt w:val="bullet"/>
      <w:lvlText w:val=""/>
      <w:lvlJc w:val="left"/>
      <w:pPr>
        <w:ind w:left="6381" w:hanging="360"/>
      </w:pPr>
      <w:rPr>
        <w:rFonts w:ascii="Wingdings" w:hAnsi="Wingdings" w:hint="default"/>
      </w:rPr>
    </w:lvl>
    <w:lvl w:ilvl="6" w:tplc="041D0001" w:tentative="1">
      <w:start w:val="1"/>
      <w:numFmt w:val="bullet"/>
      <w:lvlText w:val=""/>
      <w:lvlJc w:val="left"/>
      <w:pPr>
        <w:ind w:left="7101" w:hanging="360"/>
      </w:pPr>
      <w:rPr>
        <w:rFonts w:ascii="Symbol" w:hAnsi="Symbol" w:hint="default"/>
      </w:rPr>
    </w:lvl>
    <w:lvl w:ilvl="7" w:tplc="041D0003" w:tentative="1">
      <w:start w:val="1"/>
      <w:numFmt w:val="bullet"/>
      <w:lvlText w:val="o"/>
      <w:lvlJc w:val="left"/>
      <w:pPr>
        <w:ind w:left="7821" w:hanging="360"/>
      </w:pPr>
      <w:rPr>
        <w:rFonts w:ascii="Courier New" w:hAnsi="Courier New" w:cs="Courier New" w:hint="default"/>
      </w:rPr>
    </w:lvl>
    <w:lvl w:ilvl="8" w:tplc="041D0005" w:tentative="1">
      <w:start w:val="1"/>
      <w:numFmt w:val="bullet"/>
      <w:lvlText w:val=""/>
      <w:lvlJc w:val="left"/>
      <w:pPr>
        <w:ind w:left="8541" w:hanging="360"/>
      </w:pPr>
      <w:rPr>
        <w:rFonts w:ascii="Wingdings" w:hAnsi="Wingdings" w:hint="default"/>
      </w:rPr>
    </w:lvl>
  </w:abstractNum>
  <w:abstractNum w:abstractNumId="45" w15:restartNumberingAfterBreak="0">
    <w:nsid w:val="7A462526"/>
    <w:multiLevelType w:val="hybridMultilevel"/>
    <w:tmpl w:val="1CC4EC9C"/>
    <w:lvl w:ilvl="0" w:tplc="85DE10A6">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4"/>
  </w:num>
  <w:num w:numId="3">
    <w:abstractNumId w:val="2"/>
  </w:num>
  <w:num w:numId="4">
    <w:abstractNumId w:val="29"/>
  </w:num>
  <w:num w:numId="5">
    <w:abstractNumId w:val="31"/>
  </w:num>
  <w:num w:numId="6">
    <w:abstractNumId w:val="35"/>
  </w:num>
  <w:num w:numId="7">
    <w:abstractNumId w:val="13"/>
  </w:num>
  <w:num w:numId="8">
    <w:abstractNumId w:val="15"/>
  </w:num>
  <w:num w:numId="9">
    <w:abstractNumId w:val="6"/>
  </w:num>
  <w:num w:numId="10">
    <w:abstractNumId w:val="43"/>
  </w:num>
  <w:num w:numId="11">
    <w:abstractNumId w:val="18"/>
  </w:num>
  <w:num w:numId="12">
    <w:abstractNumId w:val="39"/>
  </w:num>
  <w:num w:numId="13">
    <w:abstractNumId w:val="16"/>
  </w:num>
  <w:num w:numId="14">
    <w:abstractNumId w:val="46"/>
  </w:num>
  <w:num w:numId="15">
    <w:abstractNumId w:val="41"/>
  </w:num>
  <w:num w:numId="16">
    <w:abstractNumId w:val="11"/>
  </w:num>
  <w:num w:numId="17">
    <w:abstractNumId w:val="26"/>
  </w:num>
  <w:num w:numId="18">
    <w:abstractNumId w:val="33"/>
  </w:num>
  <w:num w:numId="19">
    <w:abstractNumId w:val="27"/>
  </w:num>
  <w:num w:numId="20">
    <w:abstractNumId w:val="34"/>
  </w:num>
  <w:num w:numId="21">
    <w:abstractNumId w:val="17"/>
  </w:num>
  <w:num w:numId="22">
    <w:abstractNumId w:val="3"/>
  </w:num>
  <w:num w:numId="23">
    <w:abstractNumId w:val="25"/>
  </w:num>
  <w:num w:numId="24">
    <w:abstractNumId w:val="22"/>
  </w:num>
  <w:num w:numId="25">
    <w:abstractNumId w:val="36"/>
  </w:num>
  <w:num w:numId="26">
    <w:abstractNumId w:val="8"/>
  </w:num>
  <w:num w:numId="27">
    <w:abstractNumId w:val="20"/>
  </w:num>
  <w:num w:numId="28">
    <w:abstractNumId w:val="10"/>
  </w:num>
  <w:num w:numId="29">
    <w:abstractNumId w:val="19"/>
  </w:num>
  <w:num w:numId="30">
    <w:abstractNumId w:val="4"/>
  </w:num>
  <w:num w:numId="31">
    <w:abstractNumId w:val="5"/>
  </w:num>
  <w:num w:numId="32">
    <w:abstractNumId w:val="40"/>
  </w:num>
  <w:num w:numId="33">
    <w:abstractNumId w:val="1"/>
  </w:num>
  <w:num w:numId="34">
    <w:abstractNumId w:val="0"/>
  </w:num>
  <w:num w:numId="35">
    <w:abstractNumId w:val="37"/>
  </w:num>
  <w:num w:numId="36">
    <w:abstractNumId w:val="30"/>
  </w:num>
  <w:num w:numId="37">
    <w:abstractNumId w:val="38"/>
  </w:num>
  <w:num w:numId="38">
    <w:abstractNumId w:val="9"/>
  </w:num>
  <w:num w:numId="39">
    <w:abstractNumId w:val="23"/>
  </w:num>
  <w:num w:numId="40">
    <w:abstractNumId w:val="14"/>
  </w:num>
  <w:num w:numId="41">
    <w:abstractNumId w:val="45"/>
  </w:num>
  <w:num w:numId="42">
    <w:abstractNumId w:val="7"/>
  </w:num>
  <w:num w:numId="43">
    <w:abstractNumId w:val="32"/>
  </w:num>
  <w:num w:numId="44">
    <w:abstractNumId w:val="44"/>
  </w:num>
  <w:num w:numId="45">
    <w:abstractNumId w:val="21"/>
  </w:num>
  <w:num w:numId="46">
    <w:abstractNumId w:val="12"/>
  </w:num>
  <w:num w:numId="47">
    <w:abstractNumId w:val="42"/>
  </w:num>
  <w:num w:numId="48">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380"/>
    <w:rsid w:val="000006E1"/>
    <w:rsid w:val="00000C63"/>
    <w:rsid w:val="00000D2C"/>
    <w:rsid w:val="0000129B"/>
    <w:rsid w:val="00001874"/>
    <w:rsid w:val="00001B53"/>
    <w:rsid w:val="00001B93"/>
    <w:rsid w:val="0000293C"/>
    <w:rsid w:val="00002A37"/>
    <w:rsid w:val="00002FA4"/>
    <w:rsid w:val="0000316C"/>
    <w:rsid w:val="00003258"/>
    <w:rsid w:val="000040E8"/>
    <w:rsid w:val="00004788"/>
    <w:rsid w:val="0000551E"/>
    <w:rsid w:val="0000564C"/>
    <w:rsid w:val="000056CB"/>
    <w:rsid w:val="0000578B"/>
    <w:rsid w:val="00005D23"/>
    <w:rsid w:val="00005F00"/>
    <w:rsid w:val="000060E7"/>
    <w:rsid w:val="00006149"/>
    <w:rsid w:val="00006446"/>
    <w:rsid w:val="00006896"/>
    <w:rsid w:val="000074A0"/>
    <w:rsid w:val="0000763D"/>
    <w:rsid w:val="00007789"/>
    <w:rsid w:val="00007CDC"/>
    <w:rsid w:val="00007FC9"/>
    <w:rsid w:val="000104DF"/>
    <w:rsid w:val="00010ACC"/>
    <w:rsid w:val="00010AE3"/>
    <w:rsid w:val="00011354"/>
    <w:rsid w:val="000113C2"/>
    <w:rsid w:val="00011826"/>
    <w:rsid w:val="00011B28"/>
    <w:rsid w:val="00011D2B"/>
    <w:rsid w:val="00011D99"/>
    <w:rsid w:val="0001211A"/>
    <w:rsid w:val="000122FD"/>
    <w:rsid w:val="000126BA"/>
    <w:rsid w:val="00012D00"/>
    <w:rsid w:val="00013BA8"/>
    <w:rsid w:val="00013F17"/>
    <w:rsid w:val="0001403B"/>
    <w:rsid w:val="00014444"/>
    <w:rsid w:val="00014733"/>
    <w:rsid w:val="00014A4C"/>
    <w:rsid w:val="00014D6B"/>
    <w:rsid w:val="000150E6"/>
    <w:rsid w:val="00015138"/>
    <w:rsid w:val="0001526E"/>
    <w:rsid w:val="00015345"/>
    <w:rsid w:val="00015878"/>
    <w:rsid w:val="00015D15"/>
    <w:rsid w:val="00016E28"/>
    <w:rsid w:val="00017C0F"/>
    <w:rsid w:val="00017E5B"/>
    <w:rsid w:val="0002070C"/>
    <w:rsid w:val="00020A32"/>
    <w:rsid w:val="00021072"/>
    <w:rsid w:val="00021756"/>
    <w:rsid w:val="000220CD"/>
    <w:rsid w:val="00022259"/>
    <w:rsid w:val="000227F6"/>
    <w:rsid w:val="00022F63"/>
    <w:rsid w:val="00022FF1"/>
    <w:rsid w:val="00023798"/>
    <w:rsid w:val="00023932"/>
    <w:rsid w:val="00024158"/>
    <w:rsid w:val="00024674"/>
    <w:rsid w:val="000247E8"/>
    <w:rsid w:val="000249EC"/>
    <w:rsid w:val="0002564D"/>
    <w:rsid w:val="00025BAD"/>
    <w:rsid w:val="00025ECA"/>
    <w:rsid w:val="00025F8C"/>
    <w:rsid w:val="000262AC"/>
    <w:rsid w:val="0002669C"/>
    <w:rsid w:val="000266EC"/>
    <w:rsid w:val="00026921"/>
    <w:rsid w:val="00027476"/>
    <w:rsid w:val="000276DE"/>
    <w:rsid w:val="000303E9"/>
    <w:rsid w:val="00031021"/>
    <w:rsid w:val="00031381"/>
    <w:rsid w:val="00031A57"/>
    <w:rsid w:val="00031FDA"/>
    <w:rsid w:val="000320CD"/>
    <w:rsid w:val="000320D8"/>
    <w:rsid w:val="000325B8"/>
    <w:rsid w:val="00033494"/>
    <w:rsid w:val="0003396C"/>
    <w:rsid w:val="00034038"/>
    <w:rsid w:val="000340AC"/>
    <w:rsid w:val="00034C15"/>
    <w:rsid w:val="00034F95"/>
    <w:rsid w:val="00035F89"/>
    <w:rsid w:val="00036488"/>
    <w:rsid w:val="0003649D"/>
    <w:rsid w:val="00036668"/>
    <w:rsid w:val="00036BA1"/>
    <w:rsid w:val="0003743E"/>
    <w:rsid w:val="00037C46"/>
    <w:rsid w:val="00040140"/>
    <w:rsid w:val="00040BC1"/>
    <w:rsid w:val="00040D70"/>
    <w:rsid w:val="00041302"/>
    <w:rsid w:val="00041482"/>
    <w:rsid w:val="000414C8"/>
    <w:rsid w:val="000415DB"/>
    <w:rsid w:val="00041AAC"/>
    <w:rsid w:val="000422E2"/>
    <w:rsid w:val="00042CB0"/>
    <w:rsid w:val="00042CFD"/>
    <w:rsid w:val="00042D4D"/>
    <w:rsid w:val="00042F22"/>
    <w:rsid w:val="00042FC2"/>
    <w:rsid w:val="00043CB6"/>
    <w:rsid w:val="000444D5"/>
    <w:rsid w:val="000444EF"/>
    <w:rsid w:val="00044B91"/>
    <w:rsid w:val="0004530D"/>
    <w:rsid w:val="00045501"/>
    <w:rsid w:val="00046433"/>
    <w:rsid w:val="0004679E"/>
    <w:rsid w:val="00046BEE"/>
    <w:rsid w:val="0004744C"/>
    <w:rsid w:val="00047E18"/>
    <w:rsid w:val="000500CC"/>
    <w:rsid w:val="000502F1"/>
    <w:rsid w:val="00051E84"/>
    <w:rsid w:val="0005211E"/>
    <w:rsid w:val="00052390"/>
    <w:rsid w:val="00052A07"/>
    <w:rsid w:val="00052AD1"/>
    <w:rsid w:val="0005300B"/>
    <w:rsid w:val="000534E3"/>
    <w:rsid w:val="00053781"/>
    <w:rsid w:val="00054A09"/>
    <w:rsid w:val="000550A6"/>
    <w:rsid w:val="000551BF"/>
    <w:rsid w:val="0005606A"/>
    <w:rsid w:val="00057117"/>
    <w:rsid w:val="0005716B"/>
    <w:rsid w:val="0005747E"/>
    <w:rsid w:val="000575BE"/>
    <w:rsid w:val="00060177"/>
    <w:rsid w:val="00061031"/>
    <w:rsid w:val="000616E7"/>
    <w:rsid w:val="00061D48"/>
    <w:rsid w:val="00061E07"/>
    <w:rsid w:val="00062A13"/>
    <w:rsid w:val="00062CC6"/>
    <w:rsid w:val="00063341"/>
    <w:rsid w:val="0006447C"/>
    <w:rsid w:val="0006487E"/>
    <w:rsid w:val="00064BCC"/>
    <w:rsid w:val="00064C25"/>
    <w:rsid w:val="0006527A"/>
    <w:rsid w:val="000656E1"/>
    <w:rsid w:val="00065BF6"/>
    <w:rsid w:val="00065E1A"/>
    <w:rsid w:val="000660D6"/>
    <w:rsid w:val="00066AEF"/>
    <w:rsid w:val="00066C72"/>
    <w:rsid w:val="00066FA8"/>
    <w:rsid w:val="00067293"/>
    <w:rsid w:val="000674A5"/>
    <w:rsid w:val="00067BEE"/>
    <w:rsid w:val="00067F7D"/>
    <w:rsid w:val="00070082"/>
    <w:rsid w:val="000717FB"/>
    <w:rsid w:val="0007183A"/>
    <w:rsid w:val="00071A30"/>
    <w:rsid w:val="00071E0C"/>
    <w:rsid w:val="00072262"/>
    <w:rsid w:val="00072581"/>
    <w:rsid w:val="00072B53"/>
    <w:rsid w:val="0007335A"/>
    <w:rsid w:val="00073AF0"/>
    <w:rsid w:val="00074015"/>
    <w:rsid w:val="000740AC"/>
    <w:rsid w:val="000757A0"/>
    <w:rsid w:val="00076502"/>
    <w:rsid w:val="0007673F"/>
    <w:rsid w:val="00076887"/>
    <w:rsid w:val="00077E5F"/>
    <w:rsid w:val="0008036A"/>
    <w:rsid w:val="00080BB7"/>
    <w:rsid w:val="000811E3"/>
    <w:rsid w:val="00081293"/>
    <w:rsid w:val="0008197D"/>
    <w:rsid w:val="00081AE6"/>
    <w:rsid w:val="0008294A"/>
    <w:rsid w:val="00083425"/>
    <w:rsid w:val="0008369A"/>
    <w:rsid w:val="00083F22"/>
    <w:rsid w:val="00084943"/>
    <w:rsid w:val="00084F4B"/>
    <w:rsid w:val="000851A1"/>
    <w:rsid w:val="00085236"/>
    <w:rsid w:val="000855DE"/>
    <w:rsid w:val="000855EB"/>
    <w:rsid w:val="00085B52"/>
    <w:rsid w:val="00086603"/>
    <w:rsid w:val="000866F2"/>
    <w:rsid w:val="00086BFA"/>
    <w:rsid w:val="0009009F"/>
    <w:rsid w:val="00091362"/>
    <w:rsid w:val="00091557"/>
    <w:rsid w:val="00091922"/>
    <w:rsid w:val="00091D94"/>
    <w:rsid w:val="000923A6"/>
    <w:rsid w:val="000924C1"/>
    <w:rsid w:val="000924F0"/>
    <w:rsid w:val="00092742"/>
    <w:rsid w:val="00092914"/>
    <w:rsid w:val="00092B61"/>
    <w:rsid w:val="00093474"/>
    <w:rsid w:val="0009366E"/>
    <w:rsid w:val="00093C62"/>
    <w:rsid w:val="00093E60"/>
    <w:rsid w:val="00094B56"/>
    <w:rsid w:val="0009510F"/>
    <w:rsid w:val="000952BF"/>
    <w:rsid w:val="000953B7"/>
    <w:rsid w:val="000956A8"/>
    <w:rsid w:val="00095A2E"/>
    <w:rsid w:val="00095B74"/>
    <w:rsid w:val="00095D9D"/>
    <w:rsid w:val="00096346"/>
    <w:rsid w:val="00096609"/>
    <w:rsid w:val="00096902"/>
    <w:rsid w:val="00096A15"/>
    <w:rsid w:val="00096A38"/>
    <w:rsid w:val="00096BE8"/>
    <w:rsid w:val="00096F1C"/>
    <w:rsid w:val="00097757"/>
    <w:rsid w:val="000977A5"/>
    <w:rsid w:val="000978B6"/>
    <w:rsid w:val="000978C0"/>
    <w:rsid w:val="00097992"/>
    <w:rsid w:val="000A0B91"/>
    <w:rsid w:val="000A103E"/>
    <w:rsid w:val="000A112C"/>
    <w:rsid w:val="000A1B7B"/>
    <w:rsid w:val="000A2308"/>
    <w:rsid w:val="000A2362"/>
    <w:rsid w:val="000A29C4"/>
    <w:rsid w:val="000A37C1"/>
    <w:rsid w:val="000A38B8"/>
    <w:rsid w:val="000A43D1"/>
    <w:rsid w:val="000A4F09"/>
    <w:rsid w:val="000A5449"/>
    <w:rsid w:val="000A56F2"/>
    <w:rsid w:val="000A5C3D"/>
    <w:rsid w:val="000A5C47"/>
    <w:rsid w:val="000A6554"/>
    <w:rsid w:val="000A7325"/>
    <w:rsid w:val="000B01F3"/>
    <w:rsid w:val="000B0385"/>
    <w:rsid w:val="000B03D2"/>
    <w:rsid w:val="000B06B4"/>
    <w:rsid w:val="000B1822"/>
    <w:rsid w:val="000B1CE8"/>
    <w:rsid w:val="000B24DB"/>
    <w:rsid w:val="000B268C"/>
    <w:rsid w:val="000B2719"/>
    <w:rsid w:val="000B2756"/>
    <w:rsid w:val="000B2A68"/>
    <w:rsid w:val="000B2EAD"/>
    <w:rsid w:val="000B2F71"/>
    <w:rsid w:val="000B321D"/>
    <w:rsid w:val="000B35EB"/>
    <w:rsid w:val="000B372B"/>
    <w:rsid w:val="000B39C2"/>
    <w:rsid w:val="000B3A53"/>
    <w:rsid w:val="000B3A8F"/>
    <w:rsid w:val="000B3C2E"/>
    <w:rsid w:val="000B3C80"/>
    <w:rsid w:val="000B3CD1"/>
    <w:rsid w:val="000B416B"/>
    <w:rsid w:val="000B42D1"/>
    <w:rsid w:val="000B4AB9"/>
    <w:rsid w:val="000B5609"/>
    <w:rsid w:val="000B58C3"/>
    <w:rsid w:val="000B5C85"/>
    <w:rsid w:val="000B5E6C"/>
    <w:rsid w:val="000B619F"/>
    <w:rsid w:val="000B61E9"/>
    <w:rsid w:val="000B6308"/>
    <w:rsid w:val="000B6EE7"/>
    <w:rsid w:val="000B7585"/>
    <w:rsid w:val="000B7609"/>
    <w:rsid w:val="000B777B"/>
    <w:rsid w:val="000B7B0A"/>
    <w:rsid w:val="000B7B10"/>
    <w:rsid w:val="000C0465"/>
    <w:rsid w:val="000C12E2"/>
    <w:rsid w:val="000C15E0"/>
    <w:rsid w:val="000C165A"/>
    <w:rsid w:val="000C172F"/>
    <w:rsid w:val="000C1CEB"/>
    <w:rsid w:val="000C27DF"/>
    <w:rsid w:val="000C2BC9"/>
    <w:rsid w:val="000C2D16"/>
    <w:rsid w:val="000C2D91"/>
    <w:rsid w:val="000C2E19"/>
    <w:rsid w:val="000C2F09"/>
    <w:rsid w:val="000C2FA2"/>
    <w:rsid w:val="000C30D5"/>
    <w:rsid w:val="000C3582"/>
    <w:rsid w:val="000C3B5B"/>
    <w:rsid w:val="000C3DC0"/>
    <w:rsid w:val="000C49EB"/>
    <w:rsid w:val="000C55AB"/>
    <w:rsid w:val="000C5B63"/>
    <w:rsid w:val="000C6122"/>
    <w:rsid w:val="000C7C27"/>
    <w:rsid w:val="000D003E"/>
    <w:rsid w:val="000D0D07"/>
    <w:rsid w:val="000D0D55"/>
    <w:rsid w:val="000D0ED1"/>
    <w:rsid w:val="000D1782"/>
    <w:rsid w:val="000D31ED"/>
    <w:rsid w:val="000D33D8"/>
    <w:rsid w:val="000D3743"/>
    <w:rsid w:val="000D3941"/>
    <w:rsid w:val="000D399C"/>
    <w:rsid w:val="000D4797"/>
    <w:rsid w:val="000D4D41"/>
    <w:rsid w:val="000D57D8"/>
    <w:rsid w:val="000D6047"/>
    <w:rsid w:val="000D6056"/>
    <w:rsid w:val="000D6C57"/>
    <w:rsid w:val="000D6E86"/>
    <w:rsid w:val="000D6FE6"/>
    <w:rsid w:val="000D784F"/>
    <w:rsid w:val="000D7AF5"/>
    <w:rsid w:val="000D7D9B"/>
    <w:rsid w:val="000D7DBD"/>
    <w:rsid w:val="000E0527"/>
    <w:rsid w:val="000E0D16"/>
    <w:rsid w:val="000E0D42"/>
    <w:rsid w:val="000E1304"/>
    <w:rsid w:val="000E17D5"/>
    <w:rsid w:val="000E1CEB"/>
    <w:rsid w:val="000E1E17"/>
    <w:rsid w:val="000E1E92"/>
    <w:rsid w:val="000E27D8"/>
    <w:rsid w:val="000E2CC7"/>
    <w:rsid w:val="000E30B2"/>
    <w:rsid w:val="000E30DA"/>
    <w:rsid w:val="000E37AA"/>
    <w:rsid w:val="000E3CB3"/>
    <w:rsid w:val="000E56CD"/>
    <w:rsid w:val="000E719E"/>
    <w:rsid w:val="000E759E"/>
    <w:rsid w:val="000E7687"/>
    <w:rsid w:val="000F01E5"/>
    <w:rsid w:val="000F020C"/>
    <w:rsid w:val="000F06D6"/>
    <w:rsid w:val="000F0858"/>
    <w:rsid w:val="000F0EB1"/>
    <w:rsid w:val="000F1106"/>
    <w:rsid w:val="000F147C"/>
    <w:rsid w:val="000F183E"/>
    <w:rsid w:val="000F1932"/>
    <w:rsid w:val="000F1F52"/>
    <w:rsid w:val="000F2B82"/>
    <w:rsid w:val="000F2BC4"/>
    <w:rsid w:val="000F2DC7"/>
    <w:rsid w:val="000F2EC5"/>
    <w:rsid w:val="000F311F"/>
    <w:rsid w:val="000F33F8"/>
    <w:rsid w:val="000F3624"/>
    <w:rsid w:val="000F37E5"/>
    <w:rsid w:val="000F3BE9"/>
    <w:rsid w:val="000F3F6C"/>
    <w:rsid w:val="000F46C9"/>
    <w:rsid w:val="000F4DA4"/>
    <w:rsid w:val="000F4F4E"/>
    <w:rsid w:val="000F5547"/>
    <w:rsid w:val="000F5E93"/>
    <w:rsid w:val="000F5F34"/>
    <w:rsid w:val="000F61C2"/>
    <w:rsid w:val="000F6DF3"/>
    <w:rsid w:val="000F719F"/>
    <w:rsid w:val="000F72BF"/>
    <w:rsid w:val="000F731E"/>
    <w:rsid w:val="000F7C0D"/>
    <w:rsid w:val="000F7ED4"/>
    <w:rsid w:val="001000AB"/>
    <w:rsid w:val="001005FF"/>
    <w:rsid w:val="001006A0"/>
    <w:rsid w:val="0010113C"/>
    <w:rsid w:val="00101ABF"/>
    <w:rsid w:val="001023DE"/>
    <w:rsid w:val="00102FDD"/>
    <w:rsid w:val="0010304C"/>
    <w:rsid w:val="001034A7"/>
    <w:rsid w:val="0010374B"/>
    <w:rsid w:val="00103E73"/>
    <w:rsid w:val="00104053"/>
    <w:rsid w:val="00104C31"/>
    <w:rsid w:val="0010522E"/>
    <w:rsid w:val="001055B7"/>
    <w:rsid w:val="00105862"/>
    <w:rsid w:val="001062FB"/>
    <w:rsid w:val="001063E6"/>
    <w:rsid w:val="00106987"/>
    <w:rsid w:val="00106AAA"/>
    <w:rsid w:val="00106F5C"/>
    <w:rsid w:val="0011118D"/>
    <w:rsid w:val="00112FB6"/>
    <w:rsid w:val="00113B38"/>
    <w:rsid w:val="00113B78"/>
    <w:rsid w:val="00113B8F"/>
    <w:rsid w:val="00113CF4"/>
    <w:rsid w:val="00114105"/>
    <w:rsid w:val="0011414E"/>
    <w:rsid w:val="00114152"/>
    <w:rsid w:val="0011449A"/>
    <w:rsid w:val="00114552"/>
    <w:rsid w:val="001145C3"/>
    <w:rsid w:val="00115147"/>
    <w:rsid w:val="0011518E"/>
    <w:rsid w:val="001153EA"/>
    <w:rsid w:val="00115643"/>
    <w:rsid w:val="00116082"/>
    <w:rsid w:val="0011639F"/>
    <w:rsid w:val="001163E5"/>
    <w:rsid w:val="00116765"/>
    <w:rsid w:val="0011685A"/>
    <w:rsid w:val="001170AA"/>
    <w:rsid w:val="00117A78"/>
    <w:rsid w:val="001207A8"/>
    <w:rsid w:val="00121896"/>
    <w:rsid w:val="001219F5"/>
    <w:rsid w:val="00121A20"/>
    <w:rsid w:val="00121B71"/>
    <w:rsid w:val="00121EA0"/>
    <w:rsid w:val="00122AA7"/>
    <w:rsid w:val="00122AB4"/>
    <w:rsid w:val="00122B34"/>
    <w:rsid w:val="00122DFF"/>
    <w:rsid w:val="00122F95"/>
    <w:rsid w:val="00123045"/>
    <w:rsid w:val="001231D0"/>
    <w:rsid w:val="0012377F"/>
    <w:rsid w:val="00123941"/>
    <w:rsid w:val="00123F5C"/>
    <w:rsid w:val="00124314"/>
    <w:rsid w:val="00124488"/>
    <w:rsid w:val="001245F8"/>
    <w:rsid w:val="00125D7F"/>
    <w:rsid w:val="00125F31"/>
    <w:rsid w:val="00126B4A"/>
    <w:rsid w:val="00127888"/>
    <w:rsid w:val="00130078"/>
    <w:rsid w:val="00130C92"/>
    <w:rsid w:val="00130F05"/>
    <w:rsid w:val="00131110"/>
    <w:rsid w:val="001317D4"/>
    <w:rsid w:val="00131CDF"/>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536F"/>
    <w:rsid w:val="001361F4"/>
    <w:rsid w:val="00136A93"/>
    <w:rsid w:val="00136E73"/>
    <w:rsid w:val="00137350"/>
    <w:rsid w:val="00137AB5"/>
    <w:rsid w:val="00137DA3"/>
    <w:rsid w:val="00137DED"/>
    <w:rsid w:val="00137E84"/>
    <w:rsid w:val="00137F0B"/>
    <w:rsid w:val="00140CAC"/>
    <w:rsid w:val="00142589"/>
    <w:rsid w:val="001428CD"/>
    <w:rsid w:val="00143195"/>
    <w:rsid w:val="001438FE"/>
    <w:rsid w:val="001439C5"/>
    <w:rsid w:val="00144052"/>
    <w:rsid w:val="00144645"/>
    <w:rsid w:val="001448CE"/>
    <w:rsid w:val="00144A48"/>
    <w:rsid w:val="00144C4F"/>
    <w:rsid w:val="00145507"/>
    <w:rsid w:val="00145DD6"/>
    <w:rsid w:val="001466FE"/>
    <w:rsid w:val="00146DB5"/>
    <w:rsid w:val="001471C6"/>
    <w:rsid w:val="00147872"/>
    <w:rsid w:val="00147D80"/>
    <w:rsid w:val="00147FBC"/>
    <w:rsid w:val="00150159"/>
    <w:rsid w:val="00150214"/>
    <w:rsid w:val="001505FF"/>
    <w:rsid w:val="001507D4"/>
    <w:rsid w:val="00150AAA"/>
    <w:rsid w:val="00150E1F"/>
    <w:rsid w:val="00150F2A"/>
    <w:rsid w:val="00151257"/>
    <w:rsid w:val="001512E6"/>
    <w:rsid w:val="00151DF3"/>
    <w:rsid w:val="00151E23"/>
    <w:rsid w:val="001526E0"/>
    <w:rsid w:val="00152806"/>
    <w:rsid w:val="001529CE"/>
    <w:rsid w:val="00152B02"/>
    <w:rsid w:val="00152B36"/>
    <w:rsid w:val="001535D4"/>
    <w:rsid w:val="00154118"/>
    <w:rsid w:val="001546BC"/>
    <w:rsid w:val="001546E6"/>
    <w:rsid w:val="001547BD"/>
    <w:rsid w:val="001551B5"/>
    <w:rsid w:val="001556C8"/>
    <w:rsid w:val="00155C75"/>
    <w:rsid w:val="00156061"/>
    <w:rsid w:val="0015616C"/>
    <w:rsid w:val="001567DC"/>
    <w:rsid w:val="00156ED9"/>
    <w:rsid w:val="00157792"/>
    <w:rsid w:val="00157908"/>
    <w:rsid w:val="00157DBE"/>
    <w:rsid w:val="0016060D"/>
    <w:rsid w:val="00160AEA"/>
    <w:rsid w:val="00161407"/>
    <w:rsid w:val="0016168B"/>
    <w:rsid w:val="00161B73"/>
    <w:rsid w:val="00161B74"/>
    <w:rsid w:val="00161ED8"/>
    <w:rsid w:val="0016211D"/>
    <w:rsid w:val="001621CE"/>
    <w:rsid w:val="001624F9"/>
    <w:rsid w:val="00162988"/>
    <w:rsid w:val="001632A1"/>
    <w:rsid w:val="001632C9"/>
    <w:rsid w:val="0016402B"/>
    <w:rsid w:val="001645D4"/>
    <w:rsid w:val="001652C6"/>
    <w:rsid w:val="001656A5"/>
    <w:rsid w:val="001659C1"/>
    <w:rsid w:val="00165C77"/>
    <w:rsid w:val="00165F45"/>
    <w:rsid w:val="00167323"/>
    <w:rsid w:val="00167710"/>
    <w:rsid w:val="001679AE"/>
    <w:rsid w:val="00167CFA"/>
    <w:rsid w:val="0017013E"/>
    <w:rsid w:val="00170393"/>
    <w:rsid w:val="00170EAC"/>
    <w:rsid w:val="001711B8"/>
    <w:rsid w:val="001718B9"/>
    <w:rsid w:val="00171A7E"/>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996"/>
    <w:rsid w:val="00177278"/>
    <w:rsid w:val="0017744C"/>
    <w:rsid w:val="001776B6"/>
    <w:rsid w:val="001776BE"/>
    <w:rsid w:val="00177B9B"/>
    <w:rsid w:val="0018120D"/>
    <w:rsid w:val="0018143F"/>
    <w:rsid w:val="001814A9"/>
    <w:rsid w:val="001814C5"/>
    <w:rsid w:val="0018159A"/>
    <w:rsid w:val="001816B3"/>
    <w:rsid w:val="00181D25"/>
    <w:rsid w:val="00181F9C"/>
    <w:rsid w:val="00181FF8"/>
    <w:rsid w:val="001824BE"/>
    <w:rsid w:val="00182568"/>
    <w:rsid w:val="00182622"/>
    <w:rsid w:val="00182CCC"/>
    <w:rsid w:val="00183258"/>
    <w:rsid w:val="00183AC6"/>
    <w:rsid w:val="00183E34"/>
    <w:rsid w:val="00183FB0"/>
    <w:rsid w:val="001846B1"/>
    <w:rsid w:val="00184B55"/>
    <w:rsid w:val="00184E20"/>
    <w:rsid w:val="00185ADD"/>
    <w:rsid w:val="00186495"/>
    <w:rsid w:val="00186EDA"/>
    <w:rsid w:val="0018724E"/>
    <w:rsid w:val="00190AC1"/>
    <w:rsid w:val="00190E73"/>
    <w:rsid w:val="001910F1"/>
    <w:rsid w:val="00191B9E"/>
    <w:rsid w:val="00191CDE"/>
    <w:rsid w:val="001921C2"/>
    <w:rsid w:val="00192907"/>
    <w:rsid w:val="00192A2C"/>
    <w:rsid w:val="001931BE"/>
    <w:rsid w:val="001931C1"/>
    <w:rsid w:val="0019341A"/>
    <w:rsid w:val="0019461A"/>
    <w:rsid w:val="001951A7"/>
    <w:rsid w:val="001952AE"/>
    <w:rsid w:val="001953A8"/>
    <w:rsid w:val="00195B5E"/>
    <w:rsid w:val="00195E2A"/>
    <w:rsid w:val="00195EE9"/>
    <w:rsid w:val="0019611F"/>
    <w:rsid w:val="00196705"/>
    <w:rsid w:val="00196993"/>
    <w:rsid w:val="00197823"/>
    <w:rsid w:val="001978F7"/>
    <w:rsid w:val="00197BD2"/>
    <w:rsid w:val="00197DA6"/>
    <w:rsid w:val="00197DF9"/>
    <w:rsid w:val="001A0578"/>
    <w:rsid w:val="001A0F8C"/>
    <w:rsid w:val="001A105F"/>
    <w:rsid w:val="001A1987"/>
    <w:rsid w:val="001A199C"/>
    <w:rsid w:val="001A2564"/>
    <w:rsid w:val="001A313E"/>
    <w:rsid w:val="001A3243"/>
    <w:rsid w:val="001A366B"/>
    <w:rsid w:val="001A3EAB"/>
    <w:rsid w:val="001A3EBD"/>
    <w:rsid w:val="001A4DD0"/>
    <w:rsid w:val="001A4FF0"/>
    <w:rsid w:val="001A5312"/>
    <w:rsid w:val="001A59FE"/>
    <w:rsid w:val="001A5E71"/>
    <w:rsid w:val="001A5FFF"/>
    <w:rsid w:val="001A6173"/>
    <w:rsid w:val="001A694B"/>
    <w:rsid w:val="001A6B74"/>
    <w:rsid w:val="001A6CBA"/>
    <w:rsid w:val="001A7BF4"/>
    <w:rsid w:val="001B01AD"/>
    <w:rsid w:val="001B0217"/>
    <w:rsid w:val="001B0913"/>
    <w:rsid w:val="001B0D97"/>
    <w:rsid w:val="001B2506"/>
    <w:rsid w:val="001B2608"/>
    <w:rsid w:val="001B300D"/>
    <w:rsid w:val="001B3513"/>
    <w:rsid w:val="001B3D39"/>
    <w:rsid w:val="001B3D5C"/>
    <w:rsid w:val="001B4A1C"/>
    <w:rsid w:val="001B5364"/>
    <w:rsid w:val="001B54F3"/>
    <w:rsid w:val="001B5A5D"/>
    <w:rsid w:val="001B6997"/>
    <w:rsid w:val="001B6D5B"/>
    <w:rsid w:val="001B70DB"/>
    <w:rsid w:val="001B76D7"/>
    <w:rsid w:val="001B7818"/>
    <w:rsid w:val="001B78C0"/>
    <w:rsid w:val="001B7A17"/>
    <w:rsid w:val="001C089C"/>
    <w:rsid w:val="001C0B16"/>
    <w:rsid w:val="001C0ECD"/>
    <w:rsid w:val="001C19B7"/>
    <w:rsid w:val="001C1C52"/>
    <w:rsid w:val="001C1CE5"/>
    <w:rsid w:val="001C1EFE"/>
    <w:rsid w:val="001C20D9"/>
    <w:rsid w:val="001C222B"/>
    <w:rsid w:val="001C2619"/>
    <w:rsid w:val="001C3079"/>
    <w:rsid w:val="001C3090"/>
    <w:rsid w:val="001C3D2A"/>
    <w:rsid w:val="001C45C4"/>
    <w:rsid w:val="001C4B49"/>
    <w:rsid w:val="001C609A"/>
    <w:rsid w:val="001C61B9"/>
    <w:rsid w:val="001C6250"/>
    <w:rsid w:val="001C7107"/>
    <w:rsid w:val="001C71BB"/>
    <w:rsid w:val="001C75B4"/>
    <w:rsid w:val="001C7860"/>
    <w:rsid w:val="001C7897"/>
    <w:rsid w:val="001C7B54"/>
    <w:rsid w:val="001D0760"/>
    <w:rsid w:val="001D0ADD"/>
    <w:rsid w:val="001D15A9"/>
    <w:rsid w:val="001D15CB"/>
    <w:rsid w:val="001D18CE"/>
    <w:rsid w:val="001D1B48"/>
    <w:rsid w:val="001D1BE2"/>
    <w:rsid w:val="001D2176"/>
    <w:rsid w:val="001D24C8"/>
    <w:rsid w:val="001D2B5F"/>
    <w:rsid w:val="001D2BD0"/>
    <w:rsid w:val="001D3342"/>
    <w:rsid w:val="001D3577"/>
    <w:rsid w:val="001D3CFA"/>
    <w:rsid w:val="001D51BA"/>
    <w:rsid w:val="001D53E7"/>
    <w:rsid w:val="001D54B8"/>
    <w:rsid w:val="001D596D"/>
    <w:rsid w:val="001D6342"/>
    <w:rsid w:val="001D6B3D"/>
    <w:rsid w:val="001D6D53"/>
    <w:rsid w:val="001D6F1C"/>
    <w:rsid w:val="001D7246"/>
    <w:rsid w:val="001D7C46"/>
    <w:rsid w:val="001E01F2"/>
    <w:rsid w:val="001E04BE"/>
    <w:rsid w:val="001E0AA0"/>
    <w:rsid w:val="001E0D07"/>
    <w:rsid w:val="001E0D4D"/>
    <w:rsid w:val="001E11B2"/>
    <w:rsid w:val="001E1909"/>
    <w:rsid w:val="001E2C01"/>
    <w:rsid w:val="001E32E9"/>
    <w:rsid w:val="001E3875"/>
    <w:rsid w:val="001E39A8"/>
    <w:rsid w:val="001E3A04"/>
    <w:rsid w:val="001E3B22"/>
    <w:rsid w:val="001E436E"/>
    <w:rsid w:val="001E58E2"/>
    <w:rsid w:val="001E5F9A"/>
    <w:rsid w:val="001E727B"/>
    <w:rsid w:val="001E7703"/>
    <w:rsid w:val="001E7AED"/>
    <w:rsid w:val="001F036F"/>
    <w:rsid w:val="001F0D47"/>
    <w:rsid w:val="001F15E1"/>
    <w:rsid w:val="001F23D0"/>
    <w:rsid w:val="001F2C16"/>
    <w:rsid w:val="001F3916"/>
    <w:rsid w:val="001F395E"/>
    <w:rsid w:val="001F4763"/>
    <w:rsid w:val="001F4C2C"/>
    <w:rsid w:val="001F5288"/>
    <w:rsid w:val="001F54C5"/>
    <w:rsid w:val="001F5698"/>
    <w:rsid w:val="001F5856"/>
    <w:rsid w:val="001F6108"/>
    <w:rsid w:val="001F62C8"/>
    <w:rsid w:val="001F662C"/>
    <w:rsid w:val="001F7074"/>
    <w:rsid w:val="00200490"/>
    <w:rsid w:val="002007D6"/>
    <w:rsid w:val="00200D70"/>
    <w:rsid w:val="00201F3A"/>
    <w:rsid w:val="00202094"/>
    <w:rsid w:val="00202D59"/>
    <w:rsid w:val="00202F29"/>
    <w:rsid w:val="00203316"/>
    <w:rsid w:val="002037D8"/>
    <w:rsid w:val="002038AD"/>
    <w:rsid w:val="00203B00"/>
    <w:rsid w:val="00203CD3"/>
    <w:rsid w:val="00203F96"/>
    <w:rsid w:val="00204546"/>
    <w:rsid w:val="0020457F"/>
    <w:rsid w:val="002045FA"/>
    <w:rsid w:val="002054B1"/>
    <w:rsid w:val="00205634"/>
    <w:rsid w:val="00205642"/>
    <w:rsid w:val="00205683"/>
    <w:rsid w:val="002062A6"/>
    <w:rsid w:val="002062D3"/>
    <w:rsid w:val="002063C2"/>
    <w:rsid w:val="002069B2"/>
    <w:rsid w:val="0020724C"/>
    <w:rsid w:val="002073F8"/>
    <w:rsid w:val="00207B36"/>
    <w:rsid w:val="00207C8E"/>
    <w:rsid w:val="00207DAD"/>
    <w:rsid w:val="00207FA3"/>
    <w:rsid w:val="00207FD7"/>
    <w:rsid w:val="0021040E"/>
    <w:rsid w:val="00210649"/>
    <w:rsid w:val="0021121F"/>
    <w:rsid w:val="002113F3"/>
    <w:rsid w:val="00211BD0"/>
    <w:rsid w:val="00211F3E"/>
    <w:rsid w:val="002127AF"/>
    <w:rsid w:val="00212AA3"/>
    <w:rsid w:val="00212BB0"/>
    <w:rsid w:val="00212DB8"/>
    <w:rsid w:val="00213228"/>
    <w:rsid w:val="002137E3"/>
    <w:rsid w:val="002148E8"/>
    <w:rsid w:val="00214DA8"/>
    <w:rsid w:val="00215423"/>
    <w:rsid w:val="002158FA"/>
    <w:rsid w:val="00215E4C"/>
    <w:rsid w:val="00216C2E"/>
    <w:rsid w:val="002171DE"/>
    <w:rsid w:val="002175C8"/>
    <w:rsid w:val="0021775D"/>
    <w:rsid w:val="00217E1B"/>
    <w:rsid w:val="002200E7"/>
    <w:rsid w:val="00220184"/>
    <w:rsid w:val="00220600"/>
    <w:rsid w:val="00221678"/>
    <w:rsid w:val="00221BDD"/>
    <w:rsid w:val="00221D68"/>
    <w:rsid w:val="00222204"/>
    <w:rsid w:val="002224DB"/>
    <w:rsid w:val="002228E4"/>
    <w:rsid w:val="00223BEF"/>
    <w:rsid w:val="00223CD0"/>
    <w:rsid w:val="00223FCB"/>
    <w:rsid w:val="002248AB"/>
    <w:rsid w:val="002249CE"/>
    <w:rsid w:val="00224C8A"/>
    <w:rsid w:val="00224D07"/>
    <w:rsid w:val="002252C3"/>
    <w:rsid w:val="0022543F"/>
    <w:rsid w:val="0022548F"/>
    <w:rsid w:val="00225C54"/>
    <w:rsid w:val="0022613A"/>
    <w:rsid w:val="002269F8"/>
    <w:rsid w:val="0022736A"/>
    <w:rsid w:val="00227623"/>
    <w:rsid w:val="00230765"/>
    <w:rsid w:val="00230986"/>
    <w:rsid w:val="00230D18"/>
    <w:rsid w:val="002319E4"/>
    <w:rsid w:val="00231EE8"/>
    <w:rsid w:val="00232911"/>
    <w:rsid w:val="00232D5B"/>
    <w:rsid w:val="00232ECF"/>
    <w:rsid w:val="00233530"/>
    <w:rsid w:val="00233A0B"/>
    <w:rsid w:val="00234571"/>
    <w:rsid w:val="002350F5"/>
    <w:rsid w:val="002355FE"/>
    <w:rsid w:val="00235632"/>
    <w:rsid w:val="00235872"/>
    <w:rsid w:val="00235998"/>
    <w:rsid w:val="00236130"/>
    <w:rsid w:val="0023794C"/>
    <w:rsid w:val="00237A28"/>
    <w:rsid w:val="00240DFD"/>
    <w:rsid w:val="00241559"/>
    <w:rsid w:val="0024193B"/>
    <w:rsid w:val="00241B53"/>
    <w:rsid w:val="00241E50"/>
    <w:rsid w:val="00242225"/>
    <w:rsid w:val="00242EA5"/>
    <w:rsid w:val="002435B3"/>
    <w:rsid w:val="00243712"/>
    <w:rsid w:val="002444AD"/>
    <w:rsid w:val="002448AF"/>
    <w:rsid w:val="00244A0C"/>
    <w:rsid w:val="00244AD4"/>
    <w:rsid w:val="002458EB"/>
    <w:rsid w:val="00245946"/>
    <w:rsid w:val="00245A3C"/>
    <w:rsid w:val="00245A7B"/>
    <w:rsid w:val="00246E08"/>
    <w:rsid w:val="0024754B"/>
    <w:rsid w:val="00247563"/>
    <w:rsid w:val="00247762"/>
    <w:rsid w:val="00247FA9"/>
    <w:rsid w:val="002500C8"/>
    <w:rsid w:val="00250683"/>
    <w:rsid w:val="0025078E"/>
    <w:rsid w:val="002509F8"/>
    <w:rsid w:val="00250BE3"/>
    <w:rsid w:val="0025102A"/>
    <w:rsid w:val="00253241"/>
    <w:rsid w:val="002534E0"/>
    <w:rsid w:val="0025391A"/>
    <w:rsid w:val="00253B94"/>
    <w:rsid w:val="00253D56"/>
    <w:rsid w:val="00254998"/>
    <w:rsid w:val="00254C1A"/>
    <w:rsid w:val="00254D2D"/>
    <w:rsid w:val="0025529D"/>
    <w:rsid w:val="00255303"/>
    <w:rsid w:val="00255738"/>
    <w:rsid w:val="0025603F"/>
    <w:rsid w:val="0025608F"/>
    <w:rsid w:val="00256245"/>
    <w:rsid w:val="002569A7"/>
    <w:rsid w:val="0025705C"/>
    <w:rsid w:val="00257381"/>
    <w:rsid w:val="00257543"/>
    <w:rsid w:val="002577FB"/>
    <w:rsid w:val="00257B5C"/>
    <w:rsid w:val="002617E7"/>
    <w:rsid w:val="0026266D"/>
    <w:rsid w:val="00262B33"/>
    <w:rsid w:val="0026307D"/>
    <w:rsid w:val="00263286"/>
    <w:rsid w:val="00263866"/>
    <w:rsid w:val="00263997"/>
    <w:rsid w:val="00263FEE"/>
    <w:rsid w:val="00264228"/>
    <w:rsid w:val="00264334"/>
    <w:rsid w:val="002645ED"/>
    <w:rsid w:val="00264631"/>
    <w:rsid w:val="00264672"/>
    <w:rsid w:val="0026473E"/>
    <w:rsid w:val="00264DA1"/>
    <w:rsid w:val="00264E80"/>
    <w:rsid w:val="00264EEB"/>
    <w:rsid w:val="00265260"/>
    <w:rsid w:val="002653EE"/>
    <w:rsid w:val="00265555"/>
    <w:rsid w:val="00266214"/>
    <w:rsid w:val="0026695D"/>
    <w:rsid w:val="00266DA1"/>
    <w:rsid w:val="00266F25"/>
    <w:rsid w:val="0026703D"/>
    <w:rsid w:val="00267081"/>
    <w:rsid w:val="00267329"/>
    <w:rsid w:val="002673D6"/>
    <w:rsid w:val="00267C83"/>
    <w:rsid w:val="00270A8D"/>
    <w:rsid w:val="00270DCA"/>
    <w:rsid w:val="0027144F"/>
    <w:rsid w:val="0027157A"/>
    <w:rsid w:val="00271813"/>
    <w:rsid w:val="00271E22"/>
    <w:rsid w:val="00271F3A"/>
    <w:rsid w:val="00272F35"/>
    <w:rsid w:val="00273278"/>
    <w:rsid w:val="002737F4"/>
    <w:rsid w:val="002739A0"/>
    <w:rsid w:val="002746F7"/>
    <w:rsid w:val="00274BD4"/>
    <w:rsid w:val="002756E5"/>
    <w:rsid w:val="002756F4"/>
    <w:rsid w:val="00275781"/>
    <w:rsid w:val="0027688E"/>
    <w:rsid w:val="002769D3"/>
    <w:rsid w:val="00276EA6"/>
    <w:rsid w:val="002770F9"/>
    <w:rsid w:val="0027789E"/>
    <w:rsid w:val="00277C2B"/>
    <w:rsid w:val="00277CFB"/>
    <w:rsid w:val="002805D2"/>
    <w:rsid w:val="002805F5"/>
    <w:rsid w:val="00280751"/>
    <w:rsid w:val="00280C37"/>
    <w:rsid w:val="0028135B"/>
    <w:rsid w:val="0028142E"/>
    <w:rsid w:val="0028280A"/>
    <w:rsid w:val="002835B1"/>
    <w:rsid w:val="0028379D"/>
    <w:rsid w:val="00283A25"/>
    <w:rsid w:val="002841E2"/>
    <w:rsid w:val="002848AD"/>
    <w:rsid w:val="002854F2"/>
    <w:rsid w:val="002861B1"/>
    <w:rsid w:val="00286ACD"/>
    <w:rsid w:val="00287838"/>
    <w:rsid w:val="002878A1"/>
    <w:rsid w:val="00287B3E"/>
    <w:rsid w:val="00290352"/>
    <w:rsid w:val="002907B5"/>
    <w:rsid w:val="0029101B"/>
    <w:rsid w:val="002911B9"/>
    <w:rsid w:val="002913D0"/>
    <w:rsid w:val="0029229D"/>
    <w:rsid w:val="00292CF1"/>
    <w:rsid w:val="00292EB7"/>
    <w:rsid w:val="00293528"/>
    <w:rsid w:val="00293566"/>
    <w:rsid w:val="00293AFD"/>
    <w:rsid w:val="00294057"/>
    <w:rsid w:val="00294162"/>
    <w:rsid w:val="00294619"/>
    <w:rsid w:val="0029467C"/>
    <w:rsid w:val="00294E91"/>
    <w:rsid w:val="00295264"/>
    <w:rsid w:val="00295686"/>
    <w:rsid w:val="00296227"/>
    <w:rsid w:val="00296F44"/>
    <w:rsid w:val="00296F81"/>
    <w:rsid w:val="00297207"/>
    <w:rsid w:val="0029777D"/>
    <w:rsid w:val="00297C97"/>
    <w:rsid w:val="00297E70"/>
    <w:rsid w:val="002A019A"/>
    <w:rsid w:val="002A055E"/>
    <w:rsid w:val="002A0AB9"/>
    <w:rsid w:val="002A0FD6"/>
    <w:rsid w:val="002A12E5"/>
    <w:rsid w:val="002A1452"/>
    <w:rsid w:val="002A16B4"/>
    <w:rsid w:val="002A19C6"/>
    <w:rsid w:val="002A1D4E"/>
    <w:rsid w:val="002A1FE1"/>
    <w:rsid w:val="002A2869"/>
    <w:rsid w:val="002A332D"/>
    <w:rsid w:val="002A370B"/>
    <w:rsid w:val="002A376D"/>
    <w:rsid w:val="002A3785"/>
    <w:rsid w:val="002A3BD3"/>
    <w:rsid w:val="002A3CAB"/>
    <w:rsid w:val="002A3FD5"/>
    <w:rsid w:val="002A489F"/>
    <w:rsid w:val="002A4A96"/>
    <w:rsid w:val="002A519C"/>
    <w:rsid w:val="002A567C"/>
    <w:rsid w:val="002A5A74"/>
    <w:rsid w:val="002A5A8F"/>
    <w:rsid w:val="002A68DA"/>
    <w:rsid w:val="002A6D45"/>
    <w:rsid w:val="002A7069"/>
    <w:rsid w:val="002A7093"/>
    <w:rsid w:val="002A76BC"/>
    <w:rsid w:val="002A7A73"/>
    <w:rsid w:val="002A7BD4"/>
    <w:rsid w:val="002A7CFF"/>
    <w:rsid w:val="002B01D9"/>
    <w:rsid w:val="002B03F5"/>
    <w:rsid w:val="002B0DEE"/>
    <w:rsid w:val="002B103C"/>
    <w:rsid w:val="002B1150"/>
    <w:rsid w:val="002B129E"/>
    <w:rsid w:val="002B17BC"/>
    <w:rsid w:val="002B1BF2"/>
    <w:rsid w:val="002B24D6"/>
    <w:rsid w:val="002B262F"/>
    <w:rsid w:val="002B2799"/>
    <w:rsid w:val="002B2C81"/>
    <w:rsid w:val="002B3C3D"/>
    <w:rsid w:val="002B4523"/>
    <w:rsid w:val="002B5CFB"/>
    <w:rsid w:val="002B5E2A"/>
    <w:rsid w:val="002B64AA"/>
    <w:rsid w:val="002B6EB5"/>
    <w:rsid w:val="002B747E"/>
    <w:rsid w:val="002B7C12"/>
    <w:rsid w:val="002C0463"/>
    <w:rsid w:val="002C0EA8"/>
    <w:rsid w:val="002C10DC"/>
    <w:rsid w:val="002C12C3"/>
    <w:rsid w:val="002C165B"/>
    <w:rsid w:val="002C1890"/>
    <w:rsid w:val="002C2900"/>
    <w:rsid w:val="002C29B6"/>
    <w:rsid w:val="002C2B26"/>
    <w:rsid w:val="002C2E88"/>
    <w:rsid w:val="002C30E7"/>
    <w:rsid w:val="002C35F8"/>
    <w:rsid w:val="002C3794"/>
    <w:rsid w:val="002C41E6"/>
    <w:rsid w:val="002C464C"/>
    <w:rsid w:val="002C4B82"/>
    <w:rsid w:val="002C4D39"/>
    <w:rsid w:val="002C4E3D"/>
    <w:rsid w:val="002C4FFD"/>
    <w:rsid w:val="002C58F7"/>
    <w:rsid w:val="002C689D"/>
    <w:rsid w:val="002C6AEE"/>
    <w:rsid w:val="002C6D36"/>
    <w:rsid w:val="002C7352"/>
    <w:rsid w:val="002C782D"/>
    <w:rsid w:val="002C7B0B"/>
    <w:rsid w:val="002C7CF1"/>
    <w:rsid w:val="002D0010"/>
    <w:rsid w:val="002D071A"/>
    <w:rsid w:val="002D09F6"/>
    <w:rsid w:val="002D0BF4"/>
    <w:rsid w:val="002D1040"/>
    <w:rsid w:val="002D16C0"/>
    <w:rsid w:val="002D26AA"/>
    <w:rsid w:val="002D2BD8"/>
    <w:rsid w:val="002D2E65"/>
    <w:rsid w:val="002D34B2"/>
    <w:rsid w:val="002D37A9"/>
    <w:rsid w:val="002D4734"/>
    <w:rsid w:val="002D4829"/>
    <w:rsid w:val="002D48B0"/>
    <w:rsid w:val="002D4D2C"/>
    <w:rsid w:val="002D57C4"/>
    <w:rsid w:val="002D5B37"/>
    <w:rsid w:val="002D5DA7"/>
    <w:rsid w:val="002D6337"/>
    <w:rsid w:val="002D6654"/>
    <w:rsid w:val="002D6C4A"/>
    <w:rsid w:val="002D735E"/>
    <w:rsid w:val="002D73FF"/>
    <w:rsid w:val="002D7637"/>
    <w:rsid w:val="002E05FE"/>
    <w:rsid w:val="002E07EB"/>
    <w:rsid w:val="002E0898"/>
    <w:rsid w:val="002E12DE"/>
    <w:rsid w:val="002E1731"/>
    <w:rsid w:val="002E17F2"/>
    <w:rsid w:val="002E193C"/>
    <w:rsid w:val="002E1ACE"/>
    <w:rsid w:val="002E1C12"/>
    <w:rsid w:val="002E2CC7"/>
    <w:rsid w:val="002E3199"/>
    <w:rsid w:val="002E344A"/>
    <w:rsid w:val="002E37F4"/>
    <w:rsid w:val="002E4DDD"/>
    <w:rsid w:val="002E5168"/>
    <w:rsid w:val="002E5443"/>
    <w:rsid w:val="002E5512"/>
    <w:rsid w:val="002E6052"/>
    <w:rsid w:val="002E7135"/>
    <w:rsid w:val="002E74C4"/>
    <w:rsid w:val="002E7559"/>
    <w:rsid w:val="002E777C"/>
    <w:rsid w:val="002E7BC5"/>
    <w:rsid w:val="002E7CAE"/>
    <w:rsid w:val="002E7E76"/>
    <w:rsid w:val="002F0332"/>
    <w:rsid w:val="002F0350"/>
    <w:rsid w:val="002F13D6"/>
    <w:rsid w:val="002F2321"/>
    <w:rsid w:val="002F2771"/>
    <w:rsid w:val="002F31B9"/>
    <w:rsid w:val="002F37A9"/>
    <w:rsid w:val="002F3886"/>
    <w:rsid w:val="002F3C18"/>
    <w:rsid w:val="002F3F47"/>
    <w:rsid w:val="002F453C"/>
    <w:rsid w:val="002F468C"/>
    <w:rsid w:val="002F473F"/>
    <w:rsid w:val="002F47CF"/>
    <w:rsid w:val="002F4ADD"/>
    <w:rsid w:val="002F58B4"/>
    <w:rsid w:val="002F5FA2"/>
    <w:rsid w:val="002F64AE"/>
    <w:rsid w:val="002F7CCB"/>
    <w:rsid w:val="002F7DCD"/>
    <w:rsid w:val="00300077"/>
    <w:rsid w:val="00300AEA"/>
    <w:rsid w:val="00300CCE"/>
    <w:rsid w:val="0030134F"/>
    <w:rsid w:val="00301C18"/>
    <w:rsid w:val="00301CE6"/>
    <w:rsid w:val="00301D5F"/>
    <w:rsid w:val="00301E40"/>
    <w:rsid w:val="0030256B"/>
    <w:rsid w:val="00302673"/>
    <w:rsid w:val="00302976"/>
    <w:rsid w:val="00302E4C"/>
    <w:rsid w:val="00302E62"/>
    <w:rsid w:val="00303B17"/>
    <w:rsid w:val="00303DD1"/>
    <w:rsid w:val="00303E91"/>
    <w:rsid w:val="00304601"/>
    <w:rsid w:val="0030478E"/>
    <w:rsid w:val="003048EB"/>
    <w:rsid w:val="00304B12"/>
    <w:rsid w:val="00304E13"/>
    <w:rsid w:val="00304F17"/>
    <w:rsid w:val="0030501F"/>
    <w:rsid w:val="00305518"/>
    <w:rsid w:val="00305632"/>
    <w:rsid w:val="003056D2"/>
    <w:rsid w:val="003057B0"/>
    <w:rsid w:val="00306286"/>
    <w:rsid w:val="00306E4D"/>
    <w:rsid w:val="00307487"/>
    <w:rsid w:val="003074E6"/>
    <w:rsid w:val="00307A2F"/>
    <w:rsid w:val="00307BA1"/>
    <w:rsid w:val="00307FE0"/>
    <w:rsid w:val="00310C60"/>
    <w:rsid w:val="00310CE2"/>
    <w:rsid w:val="00310D8F"/>
    <w:rsid w:val="003115FC"/>
    <w:rsid w:val="00311702"/>
    <w:rsid w:val="00311754"/>
    <w:rsid w:val="00311BF8"/>
    <w:rsid w:val="00311C76"/>
    <w:rsid w:val="00311C91"/>
    <w:rsid w:val="00311E82"/>
    <w:rsid w:val="003121C4"/>
    <w:rsid w:val="003122F8"/>
    <w:rsid w:val="003126AC"/>
    <w:rsid w:val="003129C1"/>
    <w:rsid w:val="00312A55"/>
    <w:rsid w:val="00313071"/>
    <w:rsid w:val="003130A0"/>
    <w:rsid w:val="003134BC"/>
    <w:rsid w:val="00313CBB"/>
    <w:rsid w:val="00313D58"/>
    <w:rsid w:val="00313FD6"/>
    <w:rsid w:val="003142C4"/>
    <w:rsid w:val="003143BD"/>
    <w:rsid w:val="00314616"/>
    <w:rsid w:val="00314A33"/>
    <w:rsid w:val="00314CEB"/>
    <w:rsid w:val="00315363"/>
    <w:rsid w:val="003155A2"/>
    <w:rsid w:val="00315AE0"/>
    <w:rsid w:val="00315E63"/>
    <w:rsid w:val="00316145"/>
    <w:rsid w:val="003162A1"/>
    <w:rsid w:val="003165C7"/>
    <w:rsid w:val="0031666C"/>
    <w:rsid w:val="00316984"/>
    <w:rsid w:val="00316A6C"/>
    <w:rsid w:val="003170BC"/>
    <w:rsid w:val="003171AE"/>
    <w:rsid w:val="00317708"/>
    <w:rsid w:val="003178B6"/>
    <w:rsid w:val="00317EFB"/>
    <w:rsid w:val="003203ED"/>
    <w:rsid w:val="00320688"/>
    <w:rsid w:val="00320EF2"/>
    <w:rsid w:val="00321814"/>
    <w:rsid w:val="003219D2"/>
    <w:rsid w:val="00321BE0"/>
    <w:rsid w:val="0032237E"/>
    <w:rsid w:val="003227A7"/>
    <w:rsid w:val="00322837"/>
    <w:rsid w:val="00322B02"/>
    <w:rsid w:val="00322C9F"/>
    <w:rsid w:val="00322DEA"/>
    <w:rsid w:val="00322F56"/>
    <w:rsid w:val="00323CD7"/>
    <w:rsid w:val="00323E00"/>
    <w:rsid w:val="00324D23"/>
    <w:rsid w:val="00325784"/>
    <w:rsid w:val="00326303"/>
    <w:rsid w:val="00326662"/>
    <w:rsid w:val="003266D1"/>
    <w:rsid w:val="00326BB7"/>
    <w:rsid w:val="00327095"/>
    <w:rsid w:val="003274A0"/>
    <w:rsid w:val="00327B50"/>
    <w:rsid w:val="00327B67"/>
    <w:rsid w:val="00327D4D"/>
    <w:rsid w:val="003301C1"/>
    <w:rsid w:val="00330481"/>
    <w:rsid w:val="003307EE"/>
    <w:rsid w:val="00331751"/>
    <w:rsid w:val="00331D28"/>
    <w:rsid w:val="00332362"/>
    <w:rsid w:val="003327E5"/>
    <w:rsid w:val="00332EBC"/>
    <w:rsid w:val="00332F06"/>
    <w:rsid w:val="00333DEF"/>
    <w:rsid w:val="00334579"/>
    <w:rsid w:val="00334610"/>
    <w:rsid w:val="00334752"/>
    <w:rsid w:val="00334D69"/>
    <w:rsid w:val="00335144"/>
    <w:rsid w:val="00335858"/>
    <w:rsid w:val="00335979"/>
    <w:rsid w:val="00335BDE"/>
    <w:rsid w:val="00335DB2"/>
    <w:rsid w:val="00335ED2"/>
    <w:rsid w:val="00336ACD"/>
    <w:rsid w:val="00336B78"/>
    <w:rsid w:val="00336BDA"/>
    <w:rsid w:val="00337272"/>
    <w:rsid w:val="00337520"/>
    <w:rsid w:val="00337FD6"/>
    <w:rsid w:val="00340547"/>
    <w:rsid w:val="00341022"/>
    <w:rsid w:val="00342BD7"/>
    <w:rsid w:val="00343469"/>
    <w:rsid w:val="00343592"/>
    <w:rsid w:val="003438CD"/>
    <w:rsid w:val="00343DB9"/>
    <w:rsid w:val="00344EAC"/>
    <w:rsid w:val="00345230"/>
    <w:rsid w:val="0034578E"/>
    <w:rsid w:val="00345E5E"/>
    <w:rsid w:val="00345F5E"/>
    <w:rsid w:val="0034689C"/>
    <w:rsid w:val="00346B69"/>
    <w:rsid w:val="00346DB5"/>
    <w:rsid w:val="003477B1"/>
    <w:rsid w:val="0034798F"/>
    <w:rsid w:val="00347A8D"/>
    <w:rsid w:val="00347C9E"/>
    <w:rsid w:val="00350C6B"/>
    <w:rsid w:val="00350E5F"/>
    <w:rsid w:val="003519C8"/>
    <w:rsid w:val="00351BB8"/>
    <w:rsid w:val="00352068"/>
    <w:rsid w:val="003520F7"/>
    <w:rsid w:val="003525A7"/>
    <w:rsid w:val="00352845"/>
    <w:rsid w:val="003529C0"/>
    <w:rsid w:val="003533D6"/>
    <w:rsid w:val="0035379A"/>
    <w:rsid w:val="00353D34"/>
    <w:rsid w:val="0035426A"/>
    <w:rsid w:val="00354E82"/>
    <w:rsid w:val="003555E7"/>
    <w:rsid w:val="00355996"/>
    <w:rsid w:val="00356C6D"/>
    <w:rsid w:val="003572DB"/>
    <w:rsid w:val="00357380"/>
    <w:rsid w:val="00357BB7"/>
    <w:rsid w:val="00357C09"/>
    <w:rsid w:val="003600EF"/>
    <w:rsid w:val="003602D9"/>
    <w:rsid w:val="003604CE"/>
    <w:rsid w:val="00360686"/>
    <w:rsid w:val="00360789"/>
    <w:rsid w:val="00361378"/>
    <w:rsid w:val="00361701"/>
    <w:rsid w:val="0036209C"/>
    <w:rsid w:val="00362395"/>
    <w:rsid w:val="00362CE7"/>
    <w:rsid w:val="00362D34"/>
    <w:rsid w:val="00363482"/>
    <w:rsid w:val="003636FB"/>
    <w:rsid w:val="00363829"/>
    <w:rsid w:val="003643D5"/>
    <w:rsid w:val="0036466A"/>
    <w:rsid w:val="003652E7"/>
    <w:rsid w:val="0036606B"/>
    <w:rsid w:val="00366088"/>
    <w:rsid w:val="00366C63"/>
    <w:rsid w:val="00367898"/>
    <w:rsid w:val="00367A90"/>
    <w:rsid w:val="0037068E"/>
    <w:rsid w:val="00370E47"/>
    <w:rsid w:val="00371588"/>
    <w:rsid w:val="003715AF"/>
    <w:rsid w:val="00371665"/>
    <w:rsid w:val="003716F8"/>
    <w:rsid w:val="00371944"/>
    <w:rsid w:val="003719A1"/>
    <w:rsid w:val="00371B49"/>
    <w:rsid w:val="00372DA8"/>
    <w:rsid w:val="00373697"/>
    <w:rsid w:val="003739E0"/>
    <w:rsid w:val="00373BA1"/>
    <w:rsid w:val="00373C05"/>
    <w:rsid w:val="0037423B"/>
    <w:rsid w:val="003742AC"/>
    <w:rsid w:val="0037499A"/>
    <w:rsid w:val="00374C95"/>
    <w:rsid w:val="003757A0"/>
    <w:rsid w:val="0037583E"/>
    <w:rsid w:val="00375856"/>
    <w:rsid w:val="00375B6A"/>
    <w:rsid w:val="0037607A"/>
    <w:rsid w:val="00376D38"/>
    <w:rsid w:val="00376F7C"/>
    <w:rsid w:val="00377851"/>
    <w:rsid w:val="00377CE1"/>
    <w:rsid w:val="00380A35"/>
    <w:rsid w:val="00380B3E"/>
    <w:rsid w:val="00381703"/>
    <w:rsid w:val="00381773"/>
    <w:rsid w:val="00382574"/>
    <w:rsid w:val="00382784"/>
    <w:rsid w:val="003835D1"/>
    <w:rsid w:val="003837BA"/>
    <w:rsid w:val="00383824"/>
    <w:rsid w:val="0038508D"/>
    <w:rsid w:val="00385BF0"/>
    <w:rsid w:val="003862AA"/>
    <w:rsid w:val="00386BD7"/>
    <w:rsid w:val="003872AD"/>
    <w:rsid w:val="00387562"/>
    <w:rsid w:val="003901DB"/>
    <w:rsid w:val="00390467"/>
    <w:rsid w:val="00390782"/>
    <w:rsid w:val="00390AE4"/>
    <w:rsid w:val="00390F05"/>
    <w:rsid w:val="003910E3"/>
    <w:rsid w:val="00391315"/>
    <w:rsid w:val="0039143E"/>
    <w:rsid w:val="00391930"/>
    <w:rsid w:val="00391A2E"/>
    <w:rsid w:val="003922AA"/>
    <w:rsid w:val="003925E1"/>
    <w:rsid w:val="00392889"/>
    <w:rsid w:val="00392D39"/>
    <w:rsid w:val="0039318F"/>
    <w:rsid w:val="003939FF"/>
    <w:rsid w:val="00393D0E"/>
    <w:rsid w:val="00393EBE"/>
    <w:rsid w:val="00394556"/>
    <w:rsid w:val="0039473E"/>
    <w:rsid w:val="00394BCB"/>
    <w:rsid w:val="00394FE6"/>
    <w:rsid w:val="003950D1"/>
    <w:rsid w:val="00395181"/>
    <w:rsid w:val="00395938"/>
    <w:rsid w:val="00395AAD"/>
    <w:rsid w:val="00395CEC"/>
    <w:rsid w:val="00396D97"/>
    <w:rsid w:val="00397D2C"/>
    <w:rsid w:val="003A01B4"/>
    <w:rsid w:val="003A0242"/>
    <w:rsid w:val="003A08C0"/>
    <w:rsid w:val="003A1126"/>
    <w:rsid w:val="003A12C6"/>
    <w:rsid w:val="003A17BC"/>
    <w:rsid w:val="003A2223"/>
    <w:rsid w:val="003A22AF"/>
    <w:rsid w:val="003A25E9"/>
    <w:rsid w:val="003A2984"/>
    <w:rsid w:val="003A2A0F"/>
    <w:rsid w:val="003A4074"/>
    <w:rsid w:val="003A45A1"/>
    <w:rsid w:val="003A463B"/>
    <w:rsid w:val="003A4BD2"/>
    <w:rsid w:val="003A5341"/>
    <w:rsid w:val="003A57B8"/>
    <w:rsid w:val="003A5B0A"/>
    <w:rsid w:val="003A6643"/>
    <w:rsid w:val="003A6BAC"/>
    <w:rsid w:val="003A70A4"/>
    <w:rsid w:val="003A73D7"/>
    <w:rsid w:val="003A79C5"/>
    <w:rsid w:val="003A7BD6"/>
    <w:rsid w:val="003A7D60"/>
    <w:rsid w:val="003A7EF3"/>
    <w:rsid w:val="003B0146"/>
    <w:rsid w:val="003B06ED"/>
    <w:rsid w:val="003B07B8"/>
    <w:rsid w:val="003B087D"/>
    <w:rsid w:val="003B0B95"/>
    <w:rsid w:val="003B0DDC"/>
    <w:rsid w:val="003B159C"/>
    <w:rsid w:val="003B1898"/>
    <w:rsid w:val="003B1A61"/>
    <w:rsid w:val="003B369F"/>
    <w:rsid w:val="003B36A3"/>
    <w:rsid w:val="003B3ECB"/>
    <w:rsid w:val="003B4A06"/>
    <w:rsid w:val="003B4F1E"/>
    <w:rsid w:val="003B520E"/>
    <w:rsid w:val="003B53B6"/>
    <w:rsid w:val="003B540E"/>
    <w:rsid w:val="003B55B0"/>
    <w:rsid w:val="003B5806"/>
    <w:rsid w:val="003B5D4D"/>
    <w:rsid w:val="003B5E6A"/>
    <w:rsid w:val="003B64BB"/>
    <w:rsid w:val="003B6A47"/>
    <w:rsid w:val="003B6E50"/>
    <w:rsid w:val="003B7409"/>
    <w:rsid w:val="003B74A3"/>
    <w:rsid w:val="003B7AC5"/>
    <w:rsid w:val="003B7EAD"/>
    <w:rsid w:val="003B7FE5"/>
    <w:rsid w:val="003C016B"/>
    <w:rsid w:val="003C11C8"/>
    <w:rsid w:val="003C1BA9"/>
    <w:rsid w:val="003C1DB2"/>
    <w:rsid w:val="003C23EA"/>
    <w:rsid w:val="003C2702"/>
    <w:rsid w:val="003C2B8A"/>
    <w:rsid w:val="003C2C01"/>
    <w:rsid w:val="003C2D1E"/>
    <w:rsid w:val="003C2FF5"/>
    <w:rsid w:val="003C3431"/>
    <w:rsid w:val="003C4092"/>
    <w:rsid w:val="003C4A06"/>
    <w:rsid w:val="003C5737"/>
    <w:rsid w:val="003C57FE"/>
    <w:rsid w:val="003C65F3"/>
    <w:rsid w:val="003C6902"/>
    <w:rsid w:val="003C6AC4"/>
    <w:rsid w:val="003C6ACE"/>
    <w:rsid w:val="003C7594"/>
    <w:rsid w:val="003C75DA"/>
    <w:rsid w:val="003C7618"/>
    <w:rsid w:val="003C7806"/>
    <w:rsid w:val="003C7B5C"/>
    <w:rsid w:val="003D109F"/>
    <w:rsid w:val="003D1528"/>
    <w:rsid w:val="003D2478"/>
    <w:rsid w:val="003D25B4"/>
    <w:rsid w:val="003D28BA"/>
    <w:rsid w:val="003D29CD"/>
    <w:rsid w:val="003D3111"/>
    <w:rsid w:val="003D3804"/>
    <w:rsid w:val="003D386D"/>
    <w:rsid w:val="003D3C45"/>
    <w:rsid w:val="003D59FF"/>
    <w:rsid w:val="003D5B1F"/>
    <w:rsid w:val="003D5C41"/>
    <w:rsid w:val="003D5F37"/>
    <w:rsid w:val="003D68A5"/>
    <w:rsid w:val="003D691D"/>
    <w:rsid w:val="003D6BE2"/>
    <w:rsid w:val="003D6E8E"/>
    <w:rsid w:val="003D7651"/>
    <w:rsid w:val="003D78C1"/>
    <w:rsid w:val="003D7F69"/>
    <w:rsid w:val="003E07A7"/>
    <w:rsid w:val="003E1283"/>
    <w:rsid w:val="003E1498"/>
    <w:rsid w:val="003E15AE"/>
    <w:rsid w:val="003E15FA"/>
    <w:rsid w:val="003E1A10"/>
    <w:rsid w:val="003E1A47"/>
    <w:rsid w:val="003E230A"/>
    <w:rsid w:val="003E2335"/>
    <w:rsid w:val="003E23F2"/>
    <w:rsid w:val="003E312F"/>
    <w:rsid w:val="003E31E8"/>
    <w:rsid w:val="003E37FE"/>
    <w:rsid w:val="003E48A3"/>
    <w:rsid w:val="003E55E4"/>
    <w:rsid w:val="003E60A4"/>
    <w:rsid w:val="003E60A6"/>
    <w:rsid w:val="003E7135"/>
    <w:rsid w:val="003E713C"/>
    <w:rsid w:val="003E7339"/>
    <w:rsid w:val="003E74E3"/>
    <w:rsid w:val="003E7625"/>
    <w:rsid w:val="003E7B20"/>
    <w:rsid w:val="003F05C7"/>
    <w:rsid w:val="003F07F2"/>
    <w:rsid w:val="003F08A9"/>
    <w:rsid w:val="003F0C54"/>
    <w:rsid w:val="003F0E1D"/>
    <w:rsid w:val="003F0F82"/>
    <w:rsid w:val="003F19BA"/>
    <w:rsid w:val="003F1B22"/>
    <w:rsid w:val="003F2C22"/>
    <w:rsid w:val="003F2CD4"/>
    <w:rsid w:val="003F2DF5"/>
    <w:rsid w:val="003F34FC"/>
    <w:rsid w:val="003F368A"/>
    <w:rsid w:val="003F4313"/>
    <w:rsid w:val="003F5250"/>
    <w:rsid w:val="003F5B0A"/>
    <w:rsid w:val="003F6030"/>
    <w:rsid w:val="003F650B"/>
    <w:rsid w:val="003F668A"/>
    <w:rsid w:val="003F6BBE"/>
    <w:rsid w:val="003F6CED"/>
    <w:rsid w:val="003F71F3"/>
    <w:rsid w:val="003F797E"/>
    <w:rsid w:val="003F7A24"/>
    <w:rsid w:val="003F7FE4"/>
    <w:rsid w:val="004000B7"/>
    <w:rsid w:val="004000E8"/>
    <w:rsid w:val="004000EE"/>
    <w:rsid w:val="00400597"/>
    <w:rsid w:val="00400B46"/>
    <w:rsid w:val="00400E3B"/>
    <w:rsid w:val="004012DB"/>
    <w:rsid w:val="00401718"/>
    <w:rsid w:val="00401985"/>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CA5"/>
    <w:rsid w:val="004072D8"/>
    <w:rsid w:val="00407313"/>
    <w:rsid w:val="0040751E"/>
    <w:rsid w:val="00407CD3"/>
    <w:rsid w:val="00410134"/>
    <w:rsid w:val="004103BF"/>
    <w:rsid w:val="00410526"/>
    <w:rsid w:val="00410B72"/>
    <w:rsid w:val="00410F18"/>
    <w:rsid w:val="00411035"/>
    <w:rsid w:val="00411202"/>
    <w:rsid w:val="00411F1D"/>
    <w:rsid w:val="0041263E"/>
    <w:rsid w:val="004126F7"/>
    <w:rsid w:val="004127BC"/>
    <w:rsid w:val="00412FCB"/>
    <w:rsid w:val="00413182"/>
    <w:rsid w:val="004131D6"/>
    <w:rsid w:val="00413AAC"/>
    <w:rsid w:val="00413E92"/>
    <w:rsid w:val="00414024"/>
    <w:rsid w:val="0041459D"/>
    <w:rsid w:val="00414B38"/>
    <w:rsid w:val="00415B91"/>
    <w:rsid w:val="00415C12"/>
    <w:rsid w:val="00415FDF"/>
    <w:rsid w:val="004161FA"/>
    <w:rsid w:val="0041695E"/>
    <w:rsid w:val="00417234"/>
    <w:rsid w:val="00420D5D"/>
    <w:rsid w:val="00421105"/>
    <w:rsid w:val="00421ED2"/>
    <w:rsid w:val="0042249A"/>
    <w:rsid w:val="00422AA4"/>
    <w:rsid w:val="0042380D"/>
    <w:rsid w:val="00423BDD"/>
    <w:rsid w:val="00424297"/>
    <w:rsid w:val="004242F4"/>
    <w:rsid w:val="00425034"/>
    <w:rsid w:val="00425FD9"/>
    <w:rsid w:val="00426122"/>
    <w:rsid w:val="00426717"/>
    <w:rsid w:val="00426A90"/>
    <w:rsid w:val="00427248"/>
    <w:rsid w:val="0042725C"/>
    <w:rsid w:val="00427A6D"/>
    <w:rsid w:val="00427B30"/>
    <w:rsid w:val="004300FF"/>
    <w:rsid w:val="00430384"/>
    <w:rsid w:val="0043043F"/>
    <w:rsid w:val="004306CA"/>
    <w:rsid w:val="004311D2"/>
    <w:rsid w:val="004313B7"/>
    <w:rsid w:val="00431611"/>
    <w:rsid w:val="00431944"/>
    <w:rsid w:val="00431A33"/>
    <w:rsid w:val="00431F73"/>
    <w:rsid w:val="00432555"/>
    <w:rsid w:val="00433544"/>
    <w:rsid w:val="00433C2E"/>
    <w:rsid w:val="00433C46"/>
    <w:rsid w:val="00434AF6"/>
    <w:rsid w:val="00434B93"/>
    <w:rsid w:val="00434F41"/>
    <w:rsid w:val="004351DC"/>
    <w:rsid w:val="004351E3"/>
    <w:rsid w:val="00435CE6"/>
    <w:rsid w:val="00436180"/>
    <w:rsid w:val="00436596"/>
    <w:rsid w:val="00436600"/>
    <w:rsid w:val="00436D80"/>
    <w:rsid w:val="00437447"/>
    <w:rsid w:val="00437B7A"/>
    <w:rsid w:val="00437DD5"/>
    <w:rsid w:val="00440474"/>
    <w:rsid w:val="00440761"/>
    <w:rsid w:val="00440A0A"/>
    <w:rsid w:val="00440F54"/>
    <w:rsid w:val="00441A92"/>
    <w:rsid w:val="00441B96"/>
    <w:rsid w:val="00441EB7"/>
    <w:rsid w:val="00441EC4"/>
    <w:rsid w:val="00442631"/>
    <w:rsid w:val="00442B5C"/>
    <w:rsid w:val="004431DC"/>
    <w:rsid w:val="00443557"/>
    <w:rsid w:val="0044404D"/>
    <w:rsid w:val="00444071"/>
    <w:rsid w:val="004440A6"/>
    <w:rsid w:val="00444251"/>
    <w:rsid w:val="00444664"/>
    <w:rsid w:val="00444E0A"/>
    <w:rsid w:val="00444F56"/>
    <w:rsid w:val="00445423"/>
    <w:rsid w:val="00445811"/>
    <w:rsid w:val="00445A1F"/>
    <w:rsid w:val="00445CD7"/>
    <w:rsid w:val="00445FB3"/>
    <w:rsid w:val="0044601D"/>
    <w:rsid w:val="00446488"/>
    <w:rsid w:val="00446D4C"/>
    <w:rsid w:val="004474A8"/>
    <w:rsid w:val="00450516"/>
    <w:rsid w:val="004506AB"/>
    <w:rsid w:val="004517AA"/>
    <w:rsid w:val="00451967"/>
    <w:rsid w:val="004525EA"/>
    <w:rsid w:val="004528D0"/>
    <w:rsid w:val="00452B01"/>
    <w:rsid w:val="00452CAC"/>
    <w:rsid w:val="0045411A"/>
    <w:rsid w:val="00454182"/>
    <w:rsid w:val="00455061"/>
    <w:rsid w:val="004552A2"/>
    <w:rsid w:val="00455320"/>
    <w:rsid w:val="0045543A"/>
    <w:rsid w:val="00455E4A"/>
    <w:rsid w:val="004565DE"/>
    <w:rsid w:val="0045699F"/>
    <w:rsid w:val="004574C8"/>
    <w:rsid w:val="00457565"/>
    <w:rsid w:val="00457B71"/>
    <w:rsid w:val="00457FCE"/>
    <w:rsid w:val="004604E5"/>
    <w:rsid w:val="00460887"/>
    <w:rsid w:val="00460D42"/>
    <w:rsid w:val="00460E55"/>
    <w:rsid w:val="0046194E"/>
    <w:rsid w:val="00461C7D"/>
    <w:rsid w:val="00462A49"/>
    <w:rsid w:val="00462DAF"/>
    <w:rsid w:val="00462E70"/>
    <w:rsid w:val="00464430"/>
    <w:rsid w:val="004649D0"/>
    <w:rsid w:val="00464FE2"/>
    <w:rsid w:val="004651EF"/>
    <w:rsid w:val="00465644"/>
    <w:rsid w:val="00465990"/>
    <w:rsid w:val="00465997"/>
    <w:rsid w:val="004669E2"/>
    <w:rsid w:val="00467478"/>
    <w:rsid w:val="00467CCA"/>
    <w:rsid w:val="00467D75"/>
    <w:rsid w:val="004704CE"/>
    <w:rsid w:val="00470638"/>
    <w:rsid w:val="00470C31"/>
    <w:rsid w:val="00471DE0"/>
    <w:rsid w:val="004721F9"/>
    <w:rsid w:val="00472558"/>
    <w:rsid w:val="004726E4"/>
    <w:rsid w:val="00473147"/>
    <w:rsid w:val="004732E6"/>
    <w:rsid w:val="004734AF"/>
    <w:rsid w:val="004734D0"/>
    <w:rsid w:val="00473C75"/>
    <w:rsid w:val="004742AE"/>
    <w:rsid w:val="00474B7E"/>
    <w:rsid w:val="00474D61"/>
    <w:rsid w:val="004753C6"/>
    <w:rsid w:val="00475532"/>
    <w:rsid w:val="0047556B"/>
    <w:rsid w:val="0047632F"/>
    <w:rsid w:val="00476569"/>
    <w:rsid w:val="00476961"/>
    <w:rsid w:val="00477451"/>
    <w:rsid w:val="00477753"/>
    <w:rsid w:val="00477768"/>
    <w:rsid w:val="00477947"/>
    <w:rsid w:val="00477A69"/>
    <w:rsid w:val="00477ED5"/>
    <w:rsid w:val="004800FA"/>
    <w:rsid w:val="004802B5"/>
    <w:rsid w:val="00480415"/>
    <w:rsid w:val="0048055E"/>
    <w:rsid w:val="00480C85"/>
    <w:rsid w:val="004816D6"/>
    <w:rsid w:val="00481951"/>
    <w:rsid w:val="0048226A"/>
    <w:rsid w:val="00482569"/>
    <w:rsid w:val="00482FF9"/>
    <w:rsid w:val="00483282"/>
    <w:rsid w:val="00483830"/>
    <w:rsid w:val="004838A5"/>
    <w:rsid w:val="00484559"/>
    <w:rsid w:val="004851CF"/>
    <w:rsid w:val="00485C81"/>
    <w:rsid w:val="00485DDA"/>
    <w:rsid w:val="004862B2"/>
    <w:rsid w:val="004868E3"/>
    <w:rsid w:val="00487857"/>
    <w:rsid w:val="00487C74"/>
    <w:rsid w:val="00487C79"/>
    <w:rsid w:val="00487CC7"/>
    <w:rsid w:val="00487D62"/>
    <w:rsid w:val="00487E8F"/>
    <w:rsid w:val="00490194"/>
    <w:rsid w:val="004901BD"/>
    <w:rsid w:val="00491697"/>
    <w:rsid w:val="00491752"/>
    <w:rsid w:val="00491C62"/>
    <w:rsid w:val="004921CD"/>
    <w:rsid w:val="00492AE0"/>
    <w:rsid w:val="00492BC5"/>
    <w:rsid w:val="00492C64"/>
    <w:rsid w:val="00492CF7"/>
    <w:rsid w:val="00493595"/>
    <w:rsid w:val="00494354"/>
    <w:rsid w:val="00494602"/>
    <w:rsid w:val="0049488C"/>
    <w:rsid w:val="00494EC2"/>
    <w:rsid w:val="00494F72"/>
    <w:rsid w:val="0049558B"/>
    <w:rsid w:val="00495754"/>
    <w:rsid w:val="004958EB"/>
    <w:rsid w:val="00495D44"/>
    <w:rsid w:val="004964F1"/>
    <w:rsid w:val="00497D7B"/>
    <w:rsid w:val="00497DFA"/>
    <w:rsid w:val="00497F95"/>
    <w:rsid w:val="004A08C5"/>
    <w:rsid w:val="004A0D9C"/>
    <w:rsid w:val="004A140A"/>
    <w:rsid w:val="004A16BC"/>
    <w:rsid w:val="004A18DC"/>
    <w:rsid w:val="004A2071"/>
    <w:rsid w:val="004A2B94"/>
    <w:rsid w:val="004A2CF6"/>
    <w:rsid w:val="004A2FDD"/>
    <w:rsid w:val="004A341E"/>
    <w:rsid w:val="004A3C36"/>
    <w:rsid w:val="004A3F10"/>
    <w:rsid w:val="004A4431"/>
    <w:rsid w:val="004A44E4"/>
    <w:rsid w:val="004A4ECF"/>
    <w:rsid w:val="004A6058"/>
    <w:rsid w:val="004A65D1"/>
    <w:rsid w:val="004A6782"/>
    <w:rsid w:val="004A69D7"/>
    <w:rsid w:val="004A7201"/>
    <w:rsid w:val="004A74B5"/>
    <w:rsid w:val="004A7526"/>
    <w:rsid w:val="004A7ADB"/>
    <w:rsid w:val="004A7B48"/>
    <w:rsid w:val="004A7C63"/>
    <w:rsid w:val="004A7CDF"/>
    <w:rsid w:val="004B0659"/>
    <w:rsid w:val="004B0B42"/>
    <w:rsid w:val="004B108F"/>
    <w:rsid w:val="004B1C8B"/>
    <w:rsid w:val="004B1D99"/>
    <w:rsid w:val="004B1E28"/>
    <w:rsid w:val="004B1ED8"/>
    <w:rsid w:val="004B1F26"/>
    <w:rsid w:val="004B2FB1"/>
    <w:rsid w:val="004B3A59"/>
    <w:rsid w:val="004B498E"/>
    <w:rsid w:val="004B553B"/>
    <w:rsid w:val="004B5AE8"/>
    <w:rsid w:val="004B5E80"/>
    <w:rsid w:val="004B6318"/>
    <w:rsid w:val="004B69EB"/>
    <w:rsid w:val="004B6B9E"/>
    <w:rsid w:val="004B6BFA"/>
    <w:rsid w:val="004B6EEF"/>
    <w:rsid w:val="004B6F6A"/>
    <w:rsid w:val="004B743D"/>
    <w:rsid w:val="004B74CD"/>
    <w:rsid w:val="004B7C0C"/>
    <w:rsid w:val="004C03F4"/>
    <w:rsid w:val="004C0688"/>
    <w:rsid w:val="004C07A4"/>
    <w:rsid w:val="004C0957"/>
    <w:rsid w:val="004C119F"/>
    <w:rsid w:val="004C1A74"/>
    <w:rsid w:val="004C1DA0"/>
    <w:rsid w:val="004C1E9E"/>
    <w:rsid w:val="004C2A46"/>
    <w:rsid w:val="004C2CB9"/>
    <w:rsid w:val="004C2D86"/>
    <w:rsid w:val="004C2FE9"/>
    <w:rsid w:val="004C3898"/>
    <w:rsid w:val="004C4277"/>
    <w:rsid w:val="004C4851"/>
    <w:rsid w:val="004C4B7D"/>
    <w:rsid w:val="004C5737"/>
    <w:rsid w:val="004C58B3"/>
    <w:rsid w:val="004C5AEA"/>
    <w:rsid w:val="004C5DEB"/>
    <w:rsid w:val="004C787E"/>
    <w:rsid w:val="004C7E05"/>
    <w:rsid w:val="004D0271"/>
    <w:rsid w:val="004D02B0"/>
    <w:rsid w:val="004D1E16"/>
    <w:rsid w:val="004D2CEC"/>
    <w:rsid w:val="004D35C3"/>
    <w:rsid w:val="004D36B1"/>
    <w:rsid w:val="004D3CA3"/>
    <w:rsid w:val="004D43FC"/>
    <w:rsid w:val="004D44FE"/>
    <w:rsid w:val="004D4870"/>
    <w:rsid w:val="004D55A3"/>
    <w:rsid w:val="004D6007"/>
    <w:rsid w:val="004D6461"/>
    <w:rsid w:val="004D6464"/>
    <w:rsid w:val="004D6BEB"/>
    <w:rsid w:val="004D7231"/>
    <w:rsid w:val="004D75CB"/>
    <w:rsid w:val="004D79A9"/>
    <w:rsid w:val="004D7A8B"/>
    <w:rsid w:val="004D7EBD"/>
    <w:rsid w:val="004E065F"/>
    <w:rsid w:val="004E066F"/>
    <w:rsid w:val="004E0D0B"/>
    <w:rsid w:val="004E1735"/>
    <w:rsid w:val="004E1B6C"/>
    <w:rsid w:val="004E2680"/>
    <w:rsid w:val="004E2790"/>
    <w:rsid w:val="004E28F9"/>
    <w:rsid w:val="004E31A6"/>
    <w:rsid w:val="004E3592"/>
    <w:rsid w:val="004E37EB"/>
    <w:rsid w:val="004E3A39"/>
    <w:rsid w:val="004E3DD9"/>
    <w:rsid w:val="004E3F18"/>
    <w:rsid w:val="004E4257"/>
    <w:rsid w:val="004E462E"/>
    <w:rsid w:val="004E4A23"/>
    <w:rsid w:val="004E4B41"/>
    <w:rsid w:val="004E540B"/>
    <w:rsid w:val="004E5638"/>
    <w:rsid w:val="004E56DC"/>
    <w:rsid w:val="004E5DAF"/>
    <w:rsid w:val="004E737A"/>
    <w:rsid w:val="004E7641"/>
    <w:rsid w:val="004E76F4"/>
    <w:rsid w:val="004E7DFC"/>
    <w:rsid w:val="004F02F1"/>
    <w:rsid w:val="004F066B"/>
    <w:rsid w:val="004F0B4E"/>
    <w:rsid w:val="004F0B6C"/>
    <w:rsid w:val="004F0C49"/>
    <w:rsid w:val="004F12CF"/>
    <w:rsid w:val="004F14D1"/>
    <w:rsid w:val="004F2078"/>
    <w:rsid w:val="004F2708"/>
    <w:rsid w:val="004F3017"/>
    <w:rsid w:val="004F324E"/>
    <w:rsid w:val="004F35CB"/>
    <w:rsid w:val="004F3AFE"/>
    <w:rsid w:val="004F4117"/>
    <w:rsid w:val="004F450D"/>
    <w:rsid w:val="004F4716"/>
    <w:rsid w:val="004F4C57"/>
    <w:rsid w:val="004F4D51"/>
    <w:rsid w:val="004F4DA3"/>
    <w:rsid w:val="004F5249"/>
    <w:rsid w:val="004F5BB2"/>
    <w:rsid w:val="004F6350"/>
    <w:rsid w:val="004F6FB7"/>
    <w:rsid w:val="004F7156"/>
    <w:rsid w:val="004F7224"/>
    <w:rsid w:val="004F76AA"/>
    <w:rsid w:val="005007BC"/>
    <w:rsid w:val="00500CEB"/>
    <w:rsid w:val="00500FF7"/>
    <w:rsid w:val="005010D8"/>
    <w:rsid w:val="005012BF"/>
    <w:rsid w:val="0050191B"/>
    <w:rsid w:val="00501B78"/>
    <w:rsid w:val="00501CF5"/>
    <w:rsid w:val="00501D63"/>
    <w:rsid w:val="005026DB"/>
    <w:rsid w:val="00502837"/>
    <w:rsid w:val="00502F30"/>
    <w:rsid w:val="00503213"/>
    <w:rsid w:val="005035C4"/>
    <w:rsid w:val="00503EB3"/>
    <w:rsid w:val="0050417E"/>
    <w:rsid w:val="005057E2"/>
    <w:rsid w:val="00505B05"/>
    <w:rsid w:val="00506557"/>
    <w:rsid w:val="0050677A"/>
    <w:rsid w:val="0050720D"/>
    <w:rsid w:val="005076AC"/>
    <w:rsid w:val="00510660"/>
    <w:rsid w:val="005107DC"/>
    <w:rsid w:val="005108D8"/>
    <w:rsid w:val="00511509"/>
    <w:rsid w:val="005116F9"/>
    <w:rsid w:val="00511E40"/>
    <w:rsid w:val="00512F0A"/>
    <w:rsid w:val="00512F96"/>
    <w:rsid w:val="00512FDE"/>
    <w:rsid w:val="005135AC"/>
    <w:rsid w:val="00513C16"/>
    <w:rsid w:val="005140EA"/>
    <w:rsid w:val="005141FF"/>
    <w:rsid w:val="005142C8"/>
    <w:rsid w:val="005144A9"/>
    <w:rsid w:val="005144BD"/>
    <w:rsid w:val="00514528"/>
    <w:rsid w:val="005147B2"/>
    <w:rsid w:val="005153A7"/>
    <w:rsid w:val="0051559F"/>
    <w:rsid w:val="00516A45"/>
    <w:rsid w:val="00516DE7"/>
    <w:rsid w:val="0051776F"/>
    <w:rsid w:val="005205DD"/>
    <w:rsid w:val="005207FB"/>
    <w:rsid w:val="00520ADE"/>
    <w:rsid w:val="0052117C"/>
    <w:rsid w:val="005214CE"/>
    <w:rsid w:val="005219CF"/>
    <w:rsid w:val="00522A0D"/>
    <w:rsid w:val="00523F57"/>
    <w:rsid w:val="0052463B"/>
    <w:rsid w:val="00524BAF"/>
    <w:rsid w:val="00525196"/>
    <w:rsid w:val="005257C9"/>
    <w:rsid w:val="0052673F"/>
    <w:rsid w:val="00526A4E"/>
    <w:rsid w:val="00526F69"/>
    <w:rsid w:val="00527893"/>
    <w:rsid w:val="00527C56"/>
    <w:rsid w:val="005301E9"/>
    <w:rsid w:val="005306CC"/>
    <w:rsid w:val="00530717"/>
    <w:rsid w:val="00530C43"/>
    <w:rsid w:val="00530E20"/>
    <w:rsid w:val="00530FAF"/>
    <w:rsid w:val="00531A6C"/>
    <w:rsid w:val="00531B4E"/>
    <w:rsid w:val="00531ED6"/>
    <w:rsid w:val="00532A56"/>
    <w:rsid w:val="00532A6D"/>
    <w:rsid w:val="005331C2"/>
    <w:rsid w:val="00533548"/>
    <w:rsid w:val="00533D56"/>
    <w:rsid w:val="00534507"/>
    <w:rsid w:val="00534761"/>
    <w:rsid w:val="00534B59"/>
    <w:rsid w:val="00534ED4"/>
    <w:rsid w:val="00536455"/>
    <w:rsid w:val="00536759"/>
    <w:rsid w:val="00536D3D"/>
    <w:rsid w:val="00536F16"/>
    <w:rsid w:val="00537C62"/>
    <w:rsid w:val="00537F75"/>
    <w:rsid w:val="005407EA"/>
    <w:rsid w:val="00540D8B"/>
    <w:rsid w:val="00541C8C"/>
    <w:rsid w:val="005420F1"/>
    <w:rsid w:val="00542B7F"/>
    <w:rsid w:val="00542C49"/>
    <w:rsid w:val="00542D1F"/>
    <w:rsid w:val="00543190"/>
    <w:rsid w:val="00543701"/>
    <w:rsid w:val="00544FF1"/>
    <w:rsid w:val="00545238"/>
    <w:rsid w:val="00545905"/>
    <w:rsid w:val="005464C1"/>
    <w:rsid w:val="005468EF"/>
    <w:rsid w:val="00546970"/>
    <w:rsid w:val="005470FE"/>
    <w:rsid w:val="005507EB"/>
    <w:rsid w:val="005508FD"/>
    <w:rsid w:val="00550A7F"/>
    <w:rsid w:val="00550D7E"/>
    <w:rsid w:val="00551888"/>
    <w:rsid w:val="00551B78"/>
    <w:rsid w:val="00551F0D"/>
    <w:rsid w:val="0055273E"/>
    <w:rsid w:val="00552CDC"/>
    <w:rsid w:val="00552DB7"/>
    <w:rsid w:val="00553013"/>
    <w:rsid w:val="0055342B"/>
    <w:rsid w:val="005536A8"/>
    <w:rsid w:val="0055380E"/>
    <w:rsid w:val="0055381B"/>
    <w:rsid w:val="005538AF"/>
    <w:rsid w:val="005546A8"/>
    <w:rsid w:val="00554736"/>
    <w:rsid w:val="00554CAD"/>
    <w:rsid w:val="00554E19"/>
    <w:rsid w:val="00555930"/>
    <w:rsid w:val="005559E3"/>
    <w:rsid w:val="00555E6B"/>
    <w:rsid w:val="00556172"/>
    <w:rsid w:val="00556284"/>
    <w:rsid w:val="00556381"/>
    <w:rsid w:val="005564DF"/>
    <w:rsid w:val="00556C88"/>
    <w:rsid w:val="00556E7A"/>
    <w:rsid w:val="00556EAA"/>
    <w:rsid w:val="00556F4F"/>
    <w:rsid w:val="00556FCE"/>
    <w:rsid w:val="0055746A"/>
    <w:rsid w:val="00560EEA"/>
    <w:rsid w:val="0056121F"/>
    <w:rsid w:val="00562384"/>
    <w:rsid w:val="005633CE"/>
    <w:rsid w:val="005637DE"/>
    <w:rsid w:val="00563AB8"/>
    <w:rsid w:val="005640DF"/>
    <w:rsid w:val="00564127"/>
    <w:rsid w:val="00564148"/>
    <w:rsid w:val="00564302"/>
    <w:rsid w:val="0056490E"/>
    <w:rsid w:val="00564E2E"/>
    <w:rsid w:val="00564FD2"/>
    <w:rsid w:val="005651DD"/>
    <w:rsid w:val="0056538F"/>
    <w:rsid w:val="00565872"/>
    <w:rsid w:val="00566C3F"/>
    <w:rsid w:val="0056701D"/>
    <w:rsid w:val="005670F7"/>
    <w:rsid w:val="005676E5"/>
    <w:rsid w:val="00567A15"/>
    <w:rsid w:val="00570248"/>
    <w:rsid w:val="00570714"/>
    <w:rsid w:val="005708CC"/>
    <w:rsid w:val="00570BD5"/>
    <w:rsid w:val="00572505"/>
    <w:rsid w:val="0057295B"/>
    <w:rsid w:val="00573133"/>
    <w:rsid w:val="00573730"/>
    <w:rsid w:val="005738F9"/>
    <w:rsid w:val="00574146"/>
    <w:rsid w:val="0057432B"/>
    <w:rsid w:val="005746DF"/>
    <w:rsid w:val="00574BD1"/>
    <w:rsid w:val="005754D2"/>
    <w:rsid w:val="00575FC6"/>
    <w:rsid w:val="0057646B"/>
    <w:rsid w:val="005768DA"/>
    <w:rsid w:val="005769C6"/>
    <w:rsid w:val="00576D81"/>
    <w:rsid w:val="005772AC"/>
    <w:rsid w:val="0057797F"/>
    <w:rsid w:val="00577C1F"/>
    <w:rsid w:val="00580050"/>
    <w:rsid w:val="00580424"/>
    <w:rsid w:val="005804B2"/>
    <w:rsid w:val="005806BA"/>
    <w:rsid w:val="005808BC"/>
    <w:rsid w:val="00580AB7"/>
    <w:rsid w:val="00580B34"/>
    <w:rsid w:val="00582047"/>
    <w:rsid w:val="00582114"/>
    <w:rsid w:val="005821DA"/>
    <w:rsid w:val="00582809"/>
    <w:rsid w:val="00582A15"/>
    <w:rsid w:val="00582CC8"/>
    <w:rsid w:val="0058328B"/>
    <w:rsid w:val="005835FE"/>
    <w:rsid w:val="005839C8"/>
    <w:rsid w:val="0058465A"/>
    <w:rsid w:val="00584871"/>
    <w:rsid w:val="00584EC7"/>
    <w:rsid w:val="0058513E"/>
    <w:rsid w:val="00585777"/>
    <w:rsid w:val="005866BA"/>
    <w:rsid w:val="005867AB"/>
    <w:rsid w:val="00586CF6"/>
    <w:rsid w:val="00586F43"/>
    <w:rsid w:val="00586FF6"/>
    <w:rsid w:val="0058742E"/>
    <w:rsid w:val="00587915"/>
    <w:rsid w:val="0058798C"/>
    <w:rsid w:val="00587B77"/>
    <w:rsid w:val="005900FA"/>
    <w:rsid w:val="00590122"/>
    <w:rsid w:val="00590525"/>
    <w:rsid w:val="00590F36"/>
    <w:rsid w:val="005913D0"/>
    <w:rsid w:val="00591465"/>
    <w:rsid w:val="00591833"/>
    <w:rsid w:val="0059213D"/>
    <w:rsid w:val="005935A4"/>
    <w:rsid w:val="00593C82"/>
    <w:rsid w:val="00594771"/>
    <w:rsid w:val="005948C2"/>
    <w:rsid w:val="00594B03"/>
    <w:rsid w:val="00594CEF"/>
    <w:rsid w:val="005958C6"/>
    <w:rsid w:val="00595DCA"/>
    <w:rsid w:val="00595DF5"/>
    <w:rsid w:val="00595EF1"/>
    <w:rsid w:val="00596241"/>
    <w:rsid w:val="005964E1"/>
    <w:rsid w:val="00596B3B"/>
    <w:rsid w:val="0059773C"/>
    <w:rsid w:val="0059775E"/>
    <w:rsid w:val="0059779B"/>
    <w:rsid w:val="005977E6"/>
    <w:rsid w:val="00597939"/>
    <w:rsid w:val="00597E14"/>
    <w:rsid w:val="005A0089"/>
    <w:rsid w:val="005A054A"/>
    <w:rsid w:val="005A0597"/>
    <w:rsid w:val="005A07CE"/>
    <w:rsid w:val="005A1E53"/>
    <w:rsid w:val="005A209A"/>
    <w:rsid w:val="005A272F"/>
    <w:rsid w:val="005A2D72"/>
    <w:rsid w:val="005A35FD"/>
    <w:rsid w:val="005A38B4"/>
    <w:rsid w:val="005A39C7"/>
    <w:rsid w:val="005A3B62"/>
    <w:rsid w:val="005A514C"/>
    <w:rsid w:val="005A5622"/>
    <w:rsid w:val="005A5845"/>
    <w:rsid w:val="005A5D98"/>
    <w:rsid w:val="005A5EAA"/>
    <w:rsid w:val="005A662D"/>
    <w:rsid w:val="005A7487"/>
    <w:rsid w:val="005A78AE"/>
    <w:rsid w:val="005A7CBF"/>
    <w:rsid w:val="005A7E19"/>
    <w:rsid w:val="005B1409"/>
    <w:rsid w:val="005B159C"/>
    <w:rsid w:val="005B1793"/>
    <w:rsid w:val="005B2200"/>
    <w:rsid w:val="005B22D9"/>
    <w:rsid w:val="005B2700"/>
    <w:rsid w:val="005B30A9"/>
    <w:rsid w:val="005B35D7"/>
    <w:rsid w:val="005B392A"/>
    <w:rsid w:val="005B39DE"/>
    <w:rsid w:val="005B3A71"/>
    <w:rsid w:val="005B3AA3"/>
    <w:rsid w:val="005B3F0C"/>
    <w:rsid w:val="005B4225"/>
    <w:rsid w:val="005B474F"/>
    <w:rsid w:val="005B56FD"/>
    <w:rsid w:val="005B5EA7"/>
    <w:rsid w:val="005B66C7"/>
    <w:rsid w:val="005B67D9"/>
    <w:rsid w:val="005B6F83"/>
    <w:rsid w:val="005B7517"/>
    <w:rsid w:val="005B7C66"/>
    <w:rsid w:val="005C0236"/>
    <w:rsid w:val="005C0305"/>
    <w:rsid w:val="005C0602"/>
    <w:rsid w:val="005C082E"/>
    <w:rsid w:val="005C0D2B"/>
    <w:rsid w:val="005C15EF"/>
    <w:rsid w:val="005C1833"/>
    <w:rsid w:val="005C1A36"/>
    <w:rsid w:val="005C544C"/>
    <w:rsid w:val="005C562E"/>
    <w:rsid w:val="005C6D06"/>
    <w:rsid w:val="005C746C"/>
    <w:rsid w:val="005C74FB"/>
    <w:rsid w:val="005C7B84"/>
    <w:rsid w:val="005D10CC"/>
    <w:rsid w:val="005D13A6"/>
    <w:rsid w:val="005D1602"/>
    <w:rsid w:val="005D168C"/>
    <w:rsid w:val="005D1697"/>
    <w:rsid w:val="005D1AEF"/>
    <w:rsid w:val="005D2172"/>
    <w:rsid w:val="005D21F2"/>
    <w:rsid w:val="005D2B6F"/>
    <w:rsid w:val="005D2F62"/>
    <w:rsid w:val="005D481A"/>
    <w:rsid w:val="005D48FF"/>
    <w:rsid w:val="005D6009"/>
    <w:rsid w:val="005D60BF"/>
    <w:rsid w:val="005D6622"/>
    <w:rsid w:val="005D6AF5"/>
    <w:rsid w:val="005D6B46"/>
    <w:rsid w:val="005D6B62"/>
    <w:rsid w:val="005D6C1B"/>
    <w:rsid w:val="005D6FA1"/>
    <w:rsid w:val="005D6FE1"/>
    <w:rsid w:val="005D7398"/>
    <w:rsid w:val="005D7E65"/>
    <w:rsid w:val="005E00E8"/>
    <w:rsid w:val="005E091B"/>
    <w:rsid w:val="005E0941"/>
    <w:rsid w:val="005E094C"/>
    <w:rsid w:val="005E0CAE"/>
    <w:rsid w:val="005E17C9"/>
    <w:rsid w:val="005E18E0"/>
    <w:rsid w:val="005E1BCA"/>
    <w:rsid w:val="005E2306"/>
    <w:rsid w:val="005E385F"/>
    <w:rsid w:val="005E3D84"/>
    <w:rsid w:val="005E4A5A"/>
    <w:rsid w:val="005E4C91"/>
    <w:rsid w:val="005E52B3"/>
    <w:rsid w:val="005E553F"/>
    <w:rsid w:val="005E578B"/>
    <w:rsid w:val="005E59BE"/>
    <w:rsid w:val="005E5B81"/>
    <w:rsid w:val="005E5C2F"/>
    <w:rsid w:val="005E5CEA"/>
    <w:rsid w:val="005E5EEF"/>
    <w:rsid w:val="005E629D"/>
    <w:rsid w:val="005E659A"/>
    <w:rsid w:val="005E68DD"/>
    <w:rsid w:val="005E698E"/>
    <w:rsid w:val="005E6D10"/>
    <w:rsid w:val="005E77BF"/>
    <w:rsid w:val="005E78EE"/>
    <w:rsid w:val="005E7AD6"/>
    <w:rsid w:val="005F025E"/>
    <w:rsid w:val="005F065D"/>
    <w:rsid w:val="005F1319"/>
    <w:rsid w:val="005F147D"/>
    <w:rsid w:val="005F1957"/>
    <w:rsid w:val="005F1A1D"/>
    <w:rsid w:val="005F1E6F"/>
    <w:rsid w:val="005F2BE2"/>
    <w:rsid w:val="005F2CB1"/>
    <w:rsid w:val="005F3025"/>
    <w:rsid w:val="005F3492"/>
    <w:rsid w:val="005F3B0E"/>
    <w:rsid w:val="005F4460"/>
    <w:rsid w:val="005F457E"/>
    <w:rsid w:val="005F4B6F"/>
    <w:rsid w:val="005F51C1"/>
    <w:rsid w:val="005F52B2"/>
    <w:rsid w:val="005F5B70"/>
    <w:rsid w:val="005F5D80"/>
    <w:rsid w:val="005F5F56"/>
    <w:rsid w:val="005F618C"/>
    <w:rsid w:val="005F657C"/>
    <w:rsid w:val="005F66B5"/>
    <w:rsid w:val="005F6872"/>
    <w:rsid w:val="005F6D77"/>
    <w:rsid w:val="005F6F06"/>
    <w:rsid w:val="005F6F5E"/>
    <w:rsid w:val="005F70A3"/>
    <w:rsid w:val="005F70BD"/>
    <w:rsid w:val="005F71F5"/>
    <w:rsid w:val="005F775A"/>
    <w:rsid w:val="005F7CBC"/>
    <w:rsid w:val="00600375"/>
    <w:rsid w:val="00600F0C"/>
    <w:rsid w:val="0060136C"/>
    <w:rsid w:val="006017AC"/>
    <w:rsid w:val="0060224B"/>
    <w:rsid w:val="00602466"/>
    <w:rsid w:val="0060283C"/>
    <w:rsid w:val="00602D23"/>
    <w:rsid w:val="00602FA7"/>
    <w:rsid w:val="00602FE4"/>
    <w:rsid w:val="0060382D"/>
    <w:rsid w:val="00603EDF"/>
    <w:rsid w:val="0060493F"/>
    <w:rsid w:val="00604E76"/>
    <w:rsid w:val="00604F14"/>
    <w:rsid w:val="0060555A"/>
    <w:rsid w:val="00605675"/>
    <w:rsid w:val="006058A6"/>
    <w:rsid w:val="00605911"/>
    <w:rsid w:val="00605E92"/>
    <w:rsid w:val="006066F2"/>
    <w:rsid w:val="00606815"/>
    <w:rsid w:val="00606D3D"/>
    <w:rsid w:val="00606FDF"/>
    <w:rsid w:val="00607229"/>
    <w:rsid w:val="006073A4"/>
    <w:rsid w:val="00607F56"/>
    <w:rsid w:val="0061007D"/>
    <w:rsid w:val="00610C92"/>
    <w:rsid w:val="00610EBF"/>
    <w:rsid w:val="00611121"/>
    <w:rsid w:val="006116A6"/>
    <w:rsid w:val="006119AE"/>
    <w:rsid w:val="00611B83"/>
    <w:rsid w:val="00611F42"/>
    <w:rsid w:val="00611F85"/>
    <w:rsid w:val="00612140"/>
    <w:rsid w:val="0061297E"/>
    <w:rsid w:val="00612B4F"/>
    <w:rsid w:val="00612DFE"/>
    <w:rsid w:val="00612F14"/>
    <w:rsid w:val="00613257"/>
    <w:rsid w:val="006137B1"/>
    <w:rsid w:val="00613C31"/>
    <w:rsid w:val="00613DAD"/>
    <w:rsid w:val="00613E43"/>
    <w:rsid w:val="00614899"/>
    <w:rsid w:val="006149AC"/>
    <w:rsid w:val="006163FB"/>
    <w:rsid w:val="006167B5"/>
    <w:rsid w:val="00616AEA"/>
    <w:rsid w:val="00616B93"/>
    <w:rsid w:val="00617943"/>
    <w:rsid w:val="00617B82"/>
    <w:rsid w:val="00620194"/>
    <w:rsid w:val="00620532"/>
    <w:rsid w:val="006208EA"/>
    <w:rsid w:val="00620A71"/>
    <w:rsid w:val="00620D49"/>
    <w:rsid w:val="00620D80"/>
    <w:rsid w:val="00621656"/>
    <w:rsid w:val="006219BB"/>
    <w:rsid w:val="00621C35"/>
    <w:rsid w:val="006226E0"/>
    <w:rsid w:val="00622CBA"/>
    <w:rsid w:val="00623100"/>
    <w:rsid w:val="006233E7"/>
    <w:rsid w:val="006234A6"/>
    <w:rsid w:val="00623D92"/>
    <w:rsid w:val="00624070"/>
    <w:rsid w:val="00624077"/>
    <w:rsid w:val="006243C8"/>
    <w:rsid w:val="00624461"/>
    <w:rsid w:val="0062448E"/>
    <w:rsid w:val="006249DC"/>
    <w:rsid w:val="00624A8F"/>
    <w:rsid w:val="00625CBD"/>
    <w:rsid w:val="0062611B"/>
    <w:rsid w:val="0062613C"/>
    <w:rsid w:val="00626B8F"/>
    <w:rsid w:val="006272F1"/>
    <w:rsid w:val="00627E9C"/>
    <w:rsid w:val="00630001"/>
    <w:rsid w:val="006301EB"/>
    <w:rsid w:val="006304D8"/>
    <w:rsid w:val="00630A9F"/>
    <w:rsid w:val="00630F29"/>
    <w:rsid w:val="006310AD"/>
    <w:rsid w:val="00631159"/>
    <w:rsid w:val="0063117B"/>
    <w:rsid w:val="006311B3"/>
    <w:rsid w:val="0063126C"/>
    <w:rsid w:val="0063135F"/>
    <w:rsid w:val="00631565"/>
    <w:rsid w:val="0063183A"/>
    <w:rsid w:val="00631DF9"/>
    <w:rsid w:val="00632110"/>
    <w:rsid w:val="006325D4"/>
    <w:rsid w:val="0063284C"/>
    <w:rsid w:val="00632A14"/>
    <w:rsid w:val="00633271"/>
    <w:rsid w:val="0063366A"/>
    <w:rsid w:val="0063370F"/>
    <w:rsid w:val="00635037"/>
    <w:rsid w:val="006357EA"/>
    <w:rsid w:val="00635994"/>
    <w:rsid w:val="006360C2"/>
    <w:rsid w:val="00636398"/>
    <w:rsid w:val="006368D3"/>
    <w:rsid w:val="0063707E"/>
    <w:rsid w:val="00637557"/>
    <w:rsid w:val="006377EC"/>
    <w:rsid w:val="006378CE"/>
    <w:rsid w:val="00637A5F"/>
    <w:rsid w:val="00640471"/>
    <w:rsid w:val="0064151F"/>
    <w:rsid w:val="00641533"/>
    <w:rsid w:val="0064208D"/>
    <w:rsid w:val="006420D7"/>
    <w:rsid w:val="00642113"/>
    <w:rsid w:val="0064251E"/>
    <w:rsid w:val="0064288A"/>
    <w:rsid w:val="00643475"/>
    <w:rsid w:val="0064396A"/>
    <w:rsid w:val="00643C36"/>
    <w:rsid w:val="00643FD5"/>
    <w:rsid w:val="0064417F"/>
    <w:rsid w:val="00644264"/>
    <w:rsid w:val="0064455E"/>
    <w:rsid w:val="00645389"/>
    <w:rsid w:val="00645667"/>
    <w:rsid w:val="00645D44"/>
    <w:rsid w:val="0064607A"/>
    <w:rsid w:val="0064624E"/>
    <w:rsid w:val="006464DB"/>
    <w:rsid w:val="00646DB5"/>
    <w:rsid w:val="0064737E"/>
    <w:rsid w:val="0064765E"/>
    <w:rsid w:val="006477D0"/>
    <w:rsid w:val="006478E4"/>
    <w:rsid w:val="006502C4"/>
    <w:rsid w:val="0065050D"/>
    <w:rsid w:val="00650AB9"/>
    <w:rsid w:val="00651086"/>
    <w:rsid w:val="00651089"/>
    <w:rsid w:val="0065120E"/>
    <w:rsid w:val="006517BF"/>
    <w:rsid w:val="006520B0"/>
    <w:rsid w:val="006523A8"/>
    <w:rsid w:val="0065258B"/>
    <w:rsid w:val="006529B5"/>
    <w:rsid w:val="00652A08"/>
    <w:rsid w:val="00652E2F"/>
    <w:rsid w:val="006532D9"/>
    <w:rsid w:val="006535EC"/>
    <w:rsid w:val="006537C8"/>
    <w:rsid w:val="00653DCB"/>
    <w:rsid w:val="00653F4E"/>
    <w:rsid w:val="0065430D"/>
    <w:rsid w:val="00654A95"/>
    <w:rsid w:val="00655295"/>
    <w:rsid w:val="006552CF"/>
    <w:rsid w:val="00655733"/>
    <w:rsid w:val="00655ACD"/>
    <w:rsid w:val="00656A92"/>
    <w:rsid w:val="00656DDE"/>
    <w:rsid w:val="006571C0"/>
    <w:rsid w:val="00657E14"/>
    <w:rsid w:val="0066011D"/>
    <w:rsid w:val="006607C0"/>
    <w:rsid w:val="006613A6"/>
    <w:rsid w:val="00661E84"/>
    <w:rsid w:val="00661F56"/>
    <w:rsid w:val="006624F8"/>
    <w:rsid w:val="006627A2"/>
    <w:rsid w:val="00662C4F"/>
    <w:rsid w:val="006634E6"/>
    <w:rsid w:val="00663DC5"/>
    <w:rsid w:val="0066405E"/>
    <w:rsid w:val="00664AD1"/>
    <w:rsid w:val="00665269"/>
    <w:rsid w:val="006655EE"/>
    <w:rsid w:val="006656BD"/>
    <w:rsid w:val="00665CA0"/>
    <w:rsid w:val="00665D46"/>
    <w:rsid w:val="006663E2"/>
    <w:rsid w:val="006664CE"/>
    <w:rsid w:val="00666949"/>
    <w:rsid w:val="00666966"/>
    <w:rsid w:val="00666C62"/>
    <w:rsid w:val="00667A81"/>
    <w:rsid w:val="00667CB7"/>
    <w:rsid w:val="00667EE7"/>
    <w:rsid w:val="006700EF"/>
    <w:rsid w:val="00670127"/>
    <w:rsid w:val="0067036E"/>
    <w:rsid w:val="00670529"/>
    <w:rsid w:val="006705ED"/>
    <w:rsid w:val="00670832"/>
    <w:rsid w:val="00670922"/>
    <w:rsid w:val="00670BC1"/>
    <w:rsid w:val="00670BD0"/>
    <w:rsid w:val="00670BE1"/>
    <w:rsid w:val="00671FA6"/>
    <w:rsid w:val="0067218F"/>
    <w:rsid w:val="00672549"/>
    <w:rsid w:val="00672D4C"/>
    <w:rsid w:val="0067340D"/>
    <w:rsid w:val="006741F2"/>
    <w:rsid w:val="006747DD"/>
    <w:rsid w:val="00674CC3"/>
    <w:rsid w:val="00675915"/>
    <w:rsid w:val="00675993"/>
    <w:rsid w:val="00675C72"/>
    <w:rsid w:val="00676445"/>
    <w:rsid w:val="00676559"/>
    <w:rsid w:val="00676681"/>
    <w:rsid w:val="00676DA0"/>
    <w:rsid w:val="006771F9"/>
    <w:rsid w:val="006776D7"/>
    <w:rsid w:val="00677B52"/>
    <w:rsid w:val="00677ECD"/>
    <w:rsid w:val="006806FA"/>
    <w:rsid w:val="00681003"/>
    <w:rsid w:val="006813F4"/>
    <w:rsid w:val="0068174B"/>
    <w:rsid w:val="006817C9"/>
    <w:rsid w:val="0068180E"/>
    <w:rsid w:val="00681C45"/>
    <w:rsid w:val="006824DE"/>
    <w:rsid w:val="00682D35"/>
    <w:rsid w:val="00683EBD"/>
    <w:rsid w:val="00683ECE"/>
    <w:rsid w:val="00683F8F"/>
    <w:rsid w:val="00684288"/>
    <w:rsid w:val="006847E4"/>
    <w:rsid w:val="00684888"/>
    <w:rsid w:val="00684B75"/>
    <w:rsid w:val="00684BC5"/>
    <w:rsid w:val="00684C80"/>
    <w:rsid w:val="00685A6A"/>
    <w:rsid w:val="00685DDA"/>
    <w:rsid w:val="00685E9D"/>
    <w:rsid w:val="00686065"/>
    <w:rsid w:val="0068671A"/>
    <w:rsid w:val="00686E0A"/>
    <w:rsid w:val="00686EDF"/>
    <w:rsid w:val="00687698"/>
    <w:rsid w:val="00690527"/>
    <w:rsid w:val="00690B63"/>
    <w:rsid w:val="00690D53"/>
    <w:rsid w:val="00690E10"/>
    <w:rsid w:val="006912B6"/>
    <w:rsid w:val="006915B0"/>
    <w:rsid w:val="006918E2"/>
    <w:rsid w:val="00692709"/>
    <w:rsid w:val="00693791"/>
    <w:rsid w:val="0069408A"/>
    <w:rsid w:val="00694390"/>
    <w:rsid w:val="00694B8A"/>
    <w:rsid w:val="00694EA1"/>
    <w:rsid w:val="00695CAA"/>
    <w:rsid w:val="00695FC2"/>
    <w:rsid w:val="00695FF2"/>
    <w:rsid w:val="00696949"/>
    <w:rsid w:val="00697052"/>
    <w:rsid w:val="006974FC"/>
    <w:rsid w:val="00697D83"/>
    <w:rsid w:val="006A0004"/>
    <w:rsid w:val="006A05E6"/>
    <w:rsid w:val="006A0A89"/>
    <w:rsid w:val="006A1EB1"/>
    <w:rsid w:val="006A2356"/>
    <w:rsid w:val="006A25FF"/>
    <w:rsid w:val="006A296B"/>
    <w:rsid w:val="006A30D0"/>
    <w:rsid w:val="006A3797"/>
    <w:rsid w:val="006A46FB"/>
    <w:rsid w:val="006A53DD"/>
    <w:rsid w:val="006A5617"/>
    <w:rsid w:val="006A5664"/>
    <w:rsid w:val="006A5B61"/>
    <w:rsid w:val="006A5CE1"/>
    <w:rsid w:val="006A5E28"/>
    <w:rsid w:val="006A6183"/>
    <w:rsid w:val="006A6885"/>
    <w:rsid w:val="006A697B"/>
    <w:rsid w:val="006A77B6"/>
    <w:rsid w:val="006A798D"/>
    <w:rsid w:val="006A7AFF"/>
    <w:rsid w:val="006A7CAA"/>
    <w:rsid w:val="006B0743"/>
    <w:rsid w:val="006B0CDD"/>
    <w:rsid w:val="006B0E92"/>
    <w:rsid w:val="006B1816"/>
    <w:rsid w:val="006B1A6C"/>
    <w:rsid w:val="006B1EA8"/>
    <w:rsid w:val="006B2099"/>
    <w:rsid w:val="006B33C4"/>
    <w:rsid w:val="006B40CE"/>
    <w:rsid w:val="006B424B"/>
    <w:rsid w:val="006B458A"/>
    <w:rsid w:val="006B49B7"/>
    <w:rsid w:val="006B4B53"/>
    <w:rsid w:val="006B50CF"/>
    <w:rsid w:val="006B5A97"/>
    <w:rsid w:val="006B5B47"/>
    <w:rsid w:val="006B6277"/>
    <w:rsid w:val="006B62B3"/>
    <w:rsid w:val="006B6B5F"/>
    <w:rsid w:val="006B74A4"/>
    <w:rsid w:val="006B7646"/>
    <w:rsid w:val="006B7715"/>
    <w:rsid w:val="006B7EA7"/>
    <w:rsid w:val="006C00C1"/>
    <w:rsid w:val="006C03B8"/>
    <w:rsid w:val="006C042E"/>
    <w:rsid w:val="006C0647"/>
    <w:rsid w:val="006C0C32"/>
    <w:rsid w:val="006C0D88"/>
    <w:rsid w:val="006C15AE"/>
    <w:rsid w:val="006C1D55"/>
    <w:rsid w:val="006C23E5"/>
    <w:rsid w:val="006C34AF"/>
    <w:rsid w:val="006C41E0"/>
    <w:rsid w:val="006C5085"/>
    <w:rsid w:val="006C51C8"/>
    <w:rsid w:val="006C52A2"/>
    <w:rsid w:val="006C5B78"/>
    <w:rsid w:val="006C5EC9"/>
    <w:rsid w:val="006C6059"/>
    <w:rsid w:val="006C61A8"/>
    <w:rsid w:val="006C6B8F"/>
    <w:rsid w:val="006C6E46"/>
    <w:rsid w:val="006C7373"/>
    <w:rsid w:val="006C7522"/>
    <w:rsid w:val="006C7B7B"/>
    <w:rsid w:val="006C7FE8"/>
    <w:rsid w:val="006C7FFE"/>
    <w:rsid w:val="006D03E6"/>
    <w:rsid w:val="006D072A"/>
    <w:rsid w:val="006D11CF"/>
    <w:rsid w:val="006D17E0"/>
    <w:rsid w:val="006D18C3"/>
    <w:rsid w:val="006D1A5D"/>
    <w:rsid w:val="006D1C20"/>
    <w:rsid w:val="006D2FD1"/>
    <w:rsid w:val="006D3115"/>
    <w:rsid w:val="006D33E5"/>
    <w:rsid w:val="006D38D1"/>
    <w:rsid w:val="006D39F5"/>
    <w:rsid w:val="006D3EFC"/>
    <w:rsid w:val="006D43D5"/>
    <w:rsid w:val="006D46E4"/>
    <w:rsid w:val="006D4745"/>
    <w:rsid w:val="006D4802"/>
    <w:rsid w:val="006D494C"/>
    <w:rsid w:val="006D4DE8"/>
    <w:rsid w:val="006D4EF4"/>
    <w:rsid w:val="006D52D8"/>
    <w:rsid w:val="006D5369"/>
    <w:rsid w:val="006D56EA"/>
    <w:rsid w:val="006D5876"/>
    <w:rsid w:val="006D6F08"/>
    <w:rsid w:val="006D72B1"/>
    <w:rsid w:val="006D76CA"/>
    <w:rsid w:val="006D7B66"/>
    <w:rsid w:val="006D7DBF"/>
    <w:rsid w:val="006D7F13"/>
    <w:rsid w:val="006E0057"/>
    <w:rsid w:val="006E0266"/>
    <w:rsid w:val="006E03E3"/>
    <w:rsid w:val="006E062C"/>
    <w:rsid w:val="006E0681"/>
    <w:rsid w:val="006E0812"/>
    <w:rsid w:val="006E0A41"/>
    <w:rsid w:val="006E0F33"/>
    <w:rsid w:val="006E193A"/>
    <w:rsid w:val="006E1BB9"/>
    <w:rsid w:val="006E1C5F"/>
    <w:rsid w:val="006E1C82"/>
    <w:rsid w:val="006E1CB3"/>
    <w:rsid w:val="006E1E1F"/>
    <w:rsid w:val="006E280E"/>
    <w:rsid w:val="006E28B7"/>
    <w:rsid w:val="006E2A9B"/>
    <w:rsid w:val="006E3310"/>
    <w:rsid w:val="006E3314"/>
    <w:rsid w:val="006E3770"/>
    <w:rsid w:val="006E3C29"/>
    <w:rsid w:val="006E3F3A"/>
    <w:rsid w:val="006E4903"/>
    <w:rsid w:val="006E4B4E"/>
    <w:rsid w:val="006E4E39"/>
    <w:rsid w:val="006E5445"/>
    <w:rsid w:val="006E565E"/>
    <w:rsid w:val="006E5A8F"/>
    <w:rsid w:val="006E6010"/>
    <w:rsid w:val="006E673D"/>
    <w:rsid w:val="006E6A8D"/>
    <w:rsid w:val="006E71FA"/>
    <w:rsid w:val="006E769F"/>
    <w:rsid w:val="006E7D3B"/>
    <w:rsid w:val="006F1803"/>
    <w:rsid w:val="006F1991"/>
    <w:rsid w:val="006F1AB6"/>
    <w:rsid w:val="006F1B70"/>
    <w:rsid w:val="006F2B1D"/>
    <w:rsid w:val="006F3131"/>
    <w:rsid w:val="006F341D"/>
    <w:rsid w:val="006F3969"/>
    <w:rsid w:val="006F3CDE"/>
    <w:rsid w:val="006F3D9C"/>
    <w:rsid w:val="006F4F3D"/>
    <w:rsid w:val="006F525C"/>
    <w:rsid w:val="006F5467"/>
    <w:rsid w:val="006F5880"/>
    <w:rsid w:val="006F58D4"/>
    <w:rsid w:val="006F60D8"/>
    <w:rsid w:val="006F6489"/>
    <w:rsid w:val="006F6523"/>
    <w:rsid w:val="006F6579"/>
    <w:rsid w:val="006F6582"/>
    <w:rsid w:val="006F68BE"/>
    <w:rsid w:val="00700478"/>
    <w:rsid w:val="0070051C"/>
    <w:rsid w:val="0070108D"/>
    <w:rsid w:val="007010A1"/>
    <w:rsid w:val="007010E2"/>
    <w:rsid w:val="00701708"/>
    <w:rsid w:val="0070219D"/>
    <w:rsid w:val="007021C8"/>
    <w:rsid w:val="00702869"/>
    <w:rsid w:val="00702F36"/>
    <w:rsid w:val="0070346E"/>
    <w:rsid w:val="00703E7E"/>
    <w:rsid w:val="00704217"/>
    <w:rsid w:val="00704EDB"/>
    <w:rsid w:val="00705068"/>
    <w:rsid w:val="007050FB"/>
    <w:rsid w:val="007053D9"/>
    <w:rsid w:val="00705442"/>
    <w:rsid w:val="0070557E"/>
    <w:rsid w:val="007055C3"/>
    <w:rsid w:val="0070580D"/>
    <w:rsid w:val="00706101"/>
    <w:rsid w:val="00706388"/>
    <w:rsid w:val="007068B5"/>
    <w:rsid w:val="00706A45"/>
    <w:rsid w:val="00706C3C"/>
    <w:rsid w:val="00706CF4"/>
    <w:rsid w:val="00707072"/>
    <w:rsid w:val="00707257"/>
    <w:rsid w:val="00707277"/>
    <w:rsid w:val="007073E5"/>
    <w:rsid w:val="007079B8"/>
    <w:rsid w:val="00707A81"/>
    <w:rsid w:val="00707D61"/>
    <w:rsid w:val="00710823"/>
    <w:rsid w:val="0071176C"/>
    <w:rsid w:val="0071180F"/>
    <w:rsid w:val="00712287"/>
    <w:rsid w:val="00712772"/>
    <w:rsid w:val="007128CA"/>
    <w:rsid w:val="00712BD4"/>
    <w:rsid w:val="00713E74"/>
    <w:rsid w:val="00713F47"/>
    <w:rsid w:val="00714203"/>
    <w:rsid w:val="00714299"/>
    <w:rsid w:val="007148D3"/>
    <w:rsid w:val="00714D87"/>
    <w:rsid w:val="00714F08"/>
    <w:rsid w:val="00714F34"/>
    <w:rsid w:val="0071515D"/>
    <w:rsid w:val="007158C5"/>
    <w:rsid w:val="00715B93"/>
    <w:rsid w:val="00715B9A"/>
    <w:rsid w:val="00715FD6"/>
    <w:rsid w:val="00716356"/>
    <w:rsid w:val="0071714D"/>
    <w:rsid w:val="00717260"/>
    <w:rsid w:val="00721751"/>
    <w:rsid w:val="007218DB"/>
    <w:rsid w:val="007229C9"/>
    <w:rsid w:val="007229F9"/>
    <w:rsid w:val="007230D3"/>
    <w:rsid w:val="007239F1"/>
    <w:rsid w:val="00723EEA"/>
    <w:rsid w:val="00724410"/>
    <w:rsid w:val="00724935"/>
    <w:rsid w:val="00724D2C"/>
    <w:rsid w:val="007257D0"/>
    <w:rsid w:val="00725B20"/>
    <w:rsid w:val="00725F02"/>
    <w:rsid w:val="00725F33"/>
    <w:rsid w:val="00726EA6"/>
    <w:rsid w:val="00727208"/>
    <w:rsid w:val="007275BD"/>
    <w:rsid w:val="00727680"/>
    <w:rsid w:val="00727972"/>
    <w:rsid w:val="0073078C"/>
    <w:rsid w:val="007311B2"/>
    <w:rsid w:val="0073159A"/>
    <w:rsid w:val="00732648"/>
    <w:rsid w:val="00732A61"/>
    <w:rsid w:val="00732DC0"/>
    <w:rsid w:val="00733DF6"/>
    <w:rsid w:val="00733FCD"/>
    <w:rsid w:val="007348B1"/>
    <w:rsid w:val="00734FF7"/>
    <w:rsid w:val="00735A51"/>
    <w:rsid w:val="00735B10"/>
    <w:rsid w:val="007362A6"/>
    <w:rsid w:val="007365E4"/>
    <w:rsid w:val="00736D7D"/>
    <w:rsid w:val="0073715D"/>
    <w:rsid w:val="007374CD"/>
    <w:rsid w:val="00737C03"/>
    <w:rsid w:val="00740E58"/>
    <w:rsid w:val="0074136F"/>
    <w:rsid w:val="0074191E"/>
    <w:rsid w:val="00741AC2"/>
    <w:rsid w:val="00741B72"/>
    <w:rsid w:val="00742474"/>
    <w:rsid w:val="007438D6"/>
    <w:rsid w:val="0074390C"/>
    <w:rsid w:val="00743BFF"/>
    <w:rsid w:val="00743FAE"/>
    <w:rsid w:val="00744484"/>
    <w:rsid w:val="007445A0"/>
    <w:rsid w:val="00744C8C"/>
    <w:rsid w:val="00744DD6"/>
    <w:rsid w:val="00744FE7"/>
    <w:rsid w:val="0074524B"/>
    <w:rsid w:val="0074527F"/>
    <w:rsid w:val="007454BF"/>
    <w:rsid w:val="00745546"/>
    <w:rsid w:val="00745B47"/>
    <w:rsid w:val="00745CFA"/>
    <w:rsid w:val="00745F7E"/>
    <w:rsid w:val="007465EA"/>
    <w:rsid w:val="00746894"/>
    <w:rsid w:val="00746EED"/>
    <w:rsid w:val="00747214"/>
    <w:rsid w:val="00747284"/>
    <w:rsid w:val="00747482"/>
    <w:rsid w:val="007474AC"/>
    <w:rsid w:val="007476F6"/>
    <w:rsid w:val="00747C44"/>
    <w:rsid w:val="00747D8B"/>
    <w:rsid w:val="007501F2"/>
    <w:rsid w:val="00750C70"/>
    <w:rsid w:val="00750DE5"/>
    <w:rsid w:val="00751228"/>
    <w:rsid w:val="0075123C"/>
    <w:rsid w:val="00751836"/>
    <w:rsid w:val="0075186A"/>
    <w:rsid w:val="007519EE"/>
    <w:rsid w:val="00751BEF"/>
    <w:rsid w:val="00752016"/>
    <w:rsid w:val="00752EB7"/>
    <w:rsid w:val="00753542"/>
    <w:rsid w:val="00753AE4"/>
    <w:rsid w:val="00753CEF"/>
    <w:rsid w:val="00753CFE"/>
    <w:rsid w:val="0075420D"/>
    <w:rsid w:val="00754AA3"/>
    <w:rsid w:val="00754CB5"/>
    <w:rsid w:val="007555ED"/>
    <w:rsid w:val="00755C19"/>
    <w:rsid w:val="0075615A"/>
    <w:rsid w:val="007571E1"/>
    <w:rsid w:val="00757B88"/>
    <w:rsid w:val="00757E2F"/>
    <w:rsid w:val="007604B2"/>
    <w:rsid w:val="00760B26"/>
    <w:rsid w:val="0076166B"/>
    <w:rsid w:val="007619EC"/>
    <w:rsid w:val="0076221D"/>
    <w:rsid w:val="0076233E"/>
    <w:rsid w:val="0076272F"/>
    <w:rsid w:val="00762883"/>
    <w:rsid w:val="00762AFD"/>
    <w:rsid w:val="00762E10"/>
    <w:rsid w:val="00763889"/>
    <w:rsid w:val="00763E47"/>
    <w:rsid w:val="00763E86"/>
    <w:rsid w:val="00764378"/>
    <w:rsid w:val="007646E5"/>
    <w:rsid w:val="007647C4"/>
    <w:rsid w:val="00764BD2"/>
    <w:rsid w:val="00764D11"/>
    <w:rsid w:val="00765281"/>
    <w:rsid w:val="00765A33"/>
    <w:rsid w:val="0076602B"/>
    <w:rsid w:val="0076635E"/>
    <w:rsid w:val="00766BAD"/>
    <w:rsid w:val="00766E52"/>
    <w:rsid w:val="00766E64"/>
    <w:rsid w:val="00767972"/>
    <w:rsid w:val="00767A41"/>
    <w:rsid w:val="00767B14"/>
    <w:rsid w:val="00767E23"/>
    <w:rsid w:val="00767FAA"/>
    <w:rsid w:val="00770048"/>
    <w:rsid w:val="007703ED"/>
    <w:rsid w:val="007705BE"/>
    <w:rsid w:val="00770A75"/>
    <w:rsid w:val="00770C89"/>
    <w:rsid w:val="00770F94"/>
    <w:rsid w:val="007710CE"/>
    <w:rsid w:val="0077161C"/>
    <w:rsid w:val="00771B4C"/>
    <w:rsid w:val="0077237A"/>
    <w:rsid w:val="00772473"/>
    <w:rsid w:val="00772829"/>
    <w:rsid w:val="007729A2"/>
    <w:rsid w:val="00773986"/>
    <w:rsid w:val="007749A8"/>
    <w:rsid w:val="00774FB1"/>
    <w:rsid w:val="007755F2"/>
    <w:rsid w:val="00776078"/>
    <w:rsid w:val="0077628D"/>
    <w:rsid w:val="0077629A"/>
    <w:rsid w:val="00776971"/>
    <w:rsid w:val="007805B8"/>
    <w:rsid w:val="00780A80"/>
    <w:rsid w:val="0078115A"/>
    <w:rsid w:val="0078177E"/>
    <w:rsid w:val="00781836"/>
    <w:rsid w:val="00781981"/>
    <w:rsid w:val="00781E54"/>
    <w:rsid w:val="0078229A"/>
    <w:rsid w:val="0078290F"/>
    <w:rsid w:val="00782E26"/>
    <w:rsid w:val="00782EA7"/>
    <w:rsid w:val="0078304C"/>
    <w:rsid w:val="007833D7"/>
    <w:rsid w:val="00783514"/>
    <w:rsid w:val="00783673"/>
    <w:rsid w:val="007841D8"/>
    <w:rsid w:val="00784BE7"/>
    <w:rsid w:val="0078531E"/>
    <w:rsid w:val="00785490"/>
    <w:rsid w:val="007857ED"/>
    <w:rsid w:val="00785B7E"/>
    <w:rsid w:val="00785C0E"/>
    <w:rsid w:val="007860F3"/>
    <w:rsid w:val="007865A4"/>
    <w:rsid w:val="00787165"/>
    <w:rsid w:val="007901B4"/>
    <w:rsid w:val="00790F6D"/>
    <w:rsid w:val="007913C0"/>
    <w:rsid w:val="0079184A"/>
    <w:rsid w:val="007922D4"/>
    <w:rsid w:val="007923B3"/>
    <w:rsid w:val="007925EA"/>
    <w:rsid w:val="00792CAA"/>
    <w:rsid w:val="00792DDA"/>
    <w:rsid w:val="00792E98"/>
    <w:rsid w:val="00792ED3"/>
    <w:rsid w:val="00793696"/>
    <w:rsid w:val="007938B9"/>
    <w:rsid w:val="00793CD8"/>
    <w:rsid w:val="007941E8"/>
    <w:rsid w:val="00794370"/>
    <w:rsid w:val="00795C92"/>
    <w:rsid w:val="007961B5"/>
    <w:rsid w:val="00796231"/>
    <w:rsid w:val="00796894"/>
    <w:rsid w:val="00796B33"/>
    <w:rsid w:val="00796DE5"/>
    <w:rsid w:val="0079746C"/>
    <w:rsid w:val="00797589"/>
    <w:rsid w:val="00797743"/>
    <w:rsid w:val="00797777"/>
    <w:rsid w:val="00797817"/>
    <w:rsid w:val="00797A24"/>
    <w:rsid w:val="007A015C"/>
    <w:rsid w:val="007A05F0"/>
    <w:rsid w:val="007A1386"/>
    <w:rsid w:val="007A13EB"/>
    <w:rsid w:val="007A19EF"/>
    <w:rsid w:val="007A1A97"/>
    <w:rsid w:val="007A1B70"/>
    <w:rsid w:val="007A1CB3"/>
    <w:rsid w:val="007A1D7D"/>
    <w:rsid w:val="007A1EC9"/>
    <w:rsid w:val="007A2D66"/>
    <w:rsid w:val="007A2EB1"/>
    <w:rsid w:val="007A306F"/>
    <w:rsid w:val="007A3429"/>
    <w:rsid w:val="007A3628"/>
    <w:rsid w:val="007A395F"/>
    <w:rsid w:val="007A3D23"/>
    <w:rsid w:val="007A43A6"/>
    <w:rsid w:val="007A4797"/>
    <w:rsid w:val="007A4AA7"/>
    <w:rsid w:val="007A4DBE"/>
    <w:rsid w:val="007A58A6"/>
    <w:rsid w:val="007A5CC1"/>
    <w:rsid w:val="007A5E09"/>
    <w:rsid w:val="007A62AE"/>
    <w:rsid w:val="007A62B7"/>
    <w:rsid w:val="007A6CF5"/>
    <w:rsid w:val="007B02CB"/>
    <w:rsid w:val="007B05D6"/>
    <w:rsid w:val="007B1179"/>
    <w:rsid w:val="007B1286"/>
    <w:rsid w:val="007B160D"/>
    <w:rsid w:val="007B1875"/>
    <w:rsid w:val="007B1DF4"/>
    <w:rsid w:val="007B2384"/>
    <w:rsid w:val="007B326A"/>
    <w:rsid w:val="007B376F"/>
    <w:rsid w:val="007B3777"/>
    <w:rsid w:val="007B3D2D"/>
    <w:rsid w:val="007B4694"/>
    <w:rsid w:val="007B50AE"/>
    <w:rsid w:val="007B51DF"/>
    <w:rsid w:val="007B53DD"/>
    <w:rsid w:val="007B5530"/>
    <w:rsid w:val="007B5748"/>
    <w:rsid w:val="007B5869"/>
    <w:rsid w:val="007B5C32"/>
    <w:rsid w:val="007B5F75"/>
    <w:rsid w:val="007B6457"/>
    <w:rsid w:val="007B68A7"/>
    <w:rsid w:val="007B6CBB"/>
    <w:rsid w:val="007B7476"/>
    <w:rsid w:val="007B781F"/>
    <w:rsid w:val="007B7EEF"/>
    <w:rsid w:val="007B7F5A"/>
    <w:rsid w:val="007C0266"/>
    <w:rsid w:val="007C02E6"/>
    <w:rsid w:val="007C05DD"/>
    <w:rsid w:val="007C0C0B"/>
    <w:rsid w:val="007C0E8E"/>
    <w:rsid w:val="007C1875"/>
    <w:rsid w:val="007C1A5A"/>
    <w:rsid w:val="007C1A72"/>
    <w:rsid w:val="007C3369"/>
    <w:rsid w:val="007C347E"/>
    <w:rsid w:val="007C3D18"/>
    <w:rsid w:val="007C4393"/>
    <w:rsid w:val="007C5959"/>
    <w:rsid w:val="007C60BF"/>
    <w:rsid w:val="007C6177"/>
    <w:rsid w:val="007C6558"/>
    <w:rsid w:val="007C6A07"/>
    <w:rsid w:val="007C7189"/>
    <w:rsid w:val="007C71FD"/>
    <w:rsid w:val="007C7299"/>
    <w:rsid w:val="007C74F4"/>
    <w:rsid w:val="007C75A1"/>
    <w:rsid w:val="007C7750"/>
    <w:rsid w:val="007C77A5"/>
    <w:rsid w:val="007D0088"/>
    <w:rsid w:val="007D04E5"/>
    <w:rsid w:val="007D06DF"/>
    <w:rsid w:val="007D07BA"/>
    <w:rsid w:val="007D14A4"/>
    <w:rsid w:val="007D1A03"/>
    <w:rsid w:val="007D26D6"/>
    <w:rsid w:val="007D2E4D"/>
    <w:rsid w:val="007D31CB"/>
    <w:rsid w:val="007D412E"/>
    <w:rsid w:val="007D4B22"/>
    <w:rsid w:val="007D4EC1"/>
    <w:rsid w:val="007D57BF"/>
    <w:rsid w:val="007D5901"/>
    <w:rsid w:val="007D6045"/>
    <w:rsid w:val="007D6376"/>
    <w:rsid w:val="007D6AAE"/>
    <w:rsid w:val="007D6AD4"/>
    <w:rsid w:val="007D6D4C"/>
    <w:rsid w:val="007D7526"/>
    <w:rsid w:val="007D75EF"/>
    <w:rsid w:val="007D77C4"/>
    <w:rsid w:val="007D7820"/>
    <w:rsid w:val="007D7A14"/>
    <w:rsid w:val="007E01DA"/>
    <w:rsid w:val="007E03A0"/>
    <w:rsid w:val="007E0946"/>
    <w:rsid w:val="007E0C54"/>
    <w:rsid w:val="007E1075"/>
    <w:rsid w:val="007E22F3"/>
    <w:rsid w:val="007E2408"/>
    <w:rsid w:val="007E2CF4"/>
    <w:rsid w:val="007E352A"/>
    <w:rsid w:val="007E3F7C"/>
    <w:rsid w:val="007E453D"/>
    <w:rsid w:val="007E4610"/>
    <w:rsid w:val="007E4715"/>
    <w:rsid w:val="007E4945"/>
    <w:rsid w:val="007E505B"/>
    <w:rsid w:val="007E688A"/>
    <w:rsid w:val="007E68C5"/>
    <w:rsid w:val="007E7091"/>
    <w:rsid w:val="007E7343"/>
    <w:rsid w:val="007F08CF"/>
    <w:rsid w:val="007F0C24"/>
    <w:rsid w:val="007F1D10"/>
    <w:rsid w:val="007F250B"/>
    <w:rsid w:val="007F2C31"/>
    <w:rsid w:val="007F3D9C"/>
    <w:rsid w:val="007F4658"/>
    <w:rsid w:val="007F4A63"/>
    <w:rsid w:val="007F4B9B"/>
    <w:rsid w:val="007F4D47"/>
    <w:rsid w:val="007F4FA6"/>
    <w:rsid w:val="007F6300"/>
    <w:rsid w:val="007F654F"/>
    <w:rsid w:val="007F665B"/>
    <w:rsid w:val="007F6B7E"/>
    <w:rsid w:val="007F793A"/>
    <w:rsid w:val="007F7A77"/>
    <w:rsid w:val="00800464"/>
    <w:rsid w:val="00800747"/>
    <w:rsid w:val="00801A75"/>
    <w:rsid w:val="00801AA6"/>
    <w:rsid w:val="00802014"/>
    <w:rsid w:val="008027C6"/>
    <w:rsid w:val="0080287A"/>
    <w:rsid w:val="00802B53"/>
    <w:rsid w:val="00802DC4"/>
    <w:rsid w:val="0080392C"/>
    <w:rsid w:val="00803C2C"/>
    <w:rsid w:val="00803FAE"/>
    <w:rsid w:val="008040BC"/>
    <w:rsid w:val="0080551D"/>
    <w:rsid w:val="00805A16"/>
    <w:rsid w:val="00805A61"/>
    <w:rsid w:val="0080605F"/>
    <w:rsid w:val="00806C0F"/>
    <w:rsid w:val="00806CCD"/>
    <w:rsid w:val="0080726A"/>
    <w:rsid w:val="0080761E"/>
    <w:rsid w:val="00807786"/>
    <w:rsid w:val="0081050A"/>
    <w:rsid w:val="00810556"/>
    <w:rsid w:val="00810A0E"/>
    <w:rsid w:val="00810EFA"/>
    <w:rsid w:val="008113E8"/>
    <w:rsid w:val="008113FD"/>
    <w:rsid w:val="00811809"/>
    <w:rsid w:val="00811CCC"/>
    <w:rsid w:val="00811CD7"/>
    <w:rsid w:val="00811DBA"/>
    <w:rsid w:val="00811FCB"/>
    <w:rsid w:val="008122B9"/>
    <w:rsid w:val="00812518"/>
    <w:rsid w:val="0081279C"/>
    <w:rsid w:val="008128BD"/>
    <w:rsid w:val="00813269"/>
    <w:rsid w:val="00814283"/>
    <w:rsid w:val="00814645"/>
    <w:rsid w:val="0081481C"/>
    <w:rsid w:val="00814DA2"/>
    <w:rsid w:val="0081527F"/>
    <w:rsid w:val="008153F0"/>
    <w:rsid w:val="008158D6"/>
    <w:rsid w:val="00815B5D"/>
    <w:rsid w:val="00815CA7"/>
    <w:rsid w:val="00815E66"/>
    <w:rsid w:val="00815FAD"/>
    <w:rsid w:val="00816B70"/>
    <w:rsid w:val="00817196"/>
    <w:rsid w:val="0081757A"/>
    <w:rsid w:val="00817CBB"/>
    <w:rsid w:val="008202D7"/>
    <w:rsid w:val="008204A0"/>
    <w:rsid w:val="008208E1"/>
    <w:rsid w:val="008212A7"/>
    <w:rsid w:val="00821997"/>
    <w:rsid w:val="00821F6D"/>
    <w:rsid w:val="00822BA2"/>
    <w:rsid w:val="00822EC0"/>
    <w:rsid w:val="00823472"/>
    <w:rsid w:val="008235DB"/>
    <w:rsid w:val="008237B0"/>
    <w:rsid w:val="008237C3"/>
    <w:rsid w:val="00823897"/>
    <w:rsid w:val="00823B61"/>
    <w:rsid w:val="008242B5"/>
    <w:rsid w:val="00824AB4"/>
    <w:rsid w:val="00824DC9"/>
    <w:rsid w:val="00825C42"/>
    <w:rsid w:val="00825D25"/>
    <w:rsid w:val="00826356"/>
    <w:rsid w:val="00826AA9"/>
    <w:rsid w:val="00827142"/>
    <w:rsid w:val="00827325"/>
    <w:rsid w:val="0082787A"/>
    <w:rsid w:val="00827B8B"/>
    <w:rsid w:val="00827D6F"/>
    <w:rsid w:val="0083075F"/>
    <w:rsid w:val="0083116B"/>
    <w:rsid w:val="00831199"/>
    <w:rsid w:val="008312D8"/>
    <w:rsid w:val="0083155D"/>
    <w:rsid w:val="00831A98"/>
    <w:rsid w:val="00831DA2"/>
    <w:rsid w:val="00832129"/>
    <w:rsid w:val="00832148"/>
    <w:rsid w:val="00832653"/>
    <w:rsid w:val="00832DB9"/>
    <w:rsid w:val="00833219"/>
    <w:rsid w:val="00835923"/>
    <w:rsid w:val="00835F53"/>
    <w:rsid w:val="00836BD8"/>
    <w:rsid w:val="008370AB"/>
    <w:rsid w:val="008376AC"/>
    <w:rsid w:val="0083789F"/>
    <w:rsid w:val="008378D2"/>
    <w:rsid w:val="00837CDB"/>
    <w:rsid w:val="00837CF4"/>
    <w:rsid w:val="00837E6E"/>
    <w:rsid w:val="00840599"/>
    <w:rsid w:val="00840647"/>
    <w:rsid w:val="0084086C"/>
    <w:rsid w:val="00841093"/>
    <w:rsid w:val="00841541"/>
    <w:rsid w:val="00841865"/>
    <w:rsid w:val="00842831"/>
    <w:rsid w:val="00842BCA"/>
    <w:rsid w:val="00842FFC"/>
    <w:rsid w:val="00843099"/>
    <w:rsid w:val="008434E1"/>
    <w:rsid w:val="008444E8"/>
    <w:rsid w:val="00844521"/>
    <w:rsid w:val="00844CBF"/>
    <w:rsid w:val="00844D4B"/>
    <w:rsid w:val="00844E80"/>
    <w:rsid w:val="008453B3"/>
    <w:rsid w:val="0084621E"/>
    <w:rsid w:val="0084699C"/>
    <w:rsid w:val="00846C5D"/>
    <w:rsid w:val="00846CDE"/>
    <w:rsid w:val="00846FE7"/>
    <w:rsid w:val="0084726E"/>
    <w:rsid w:val="008475B4"/>
    <w:rsid w:val="00847745"/>
    <w:rsid w:val="0085036F"/>
    <w:rsid w:val="008503F0"/>
    <w:rsid w:val="0085099B"/>
    <w:rsid w:val="00850CD3"/>
    <w:rsid w:val="00851DCF"/>
    <w:rsid w:val="00852862"/>
    <w:rsid w:val="0085384C"/>
    <w:rsid w:val="00853D71"/>
    <w:rsid w:val="00853EA3"/>
    <w:rsid w:val="008540F7"/>
    <w:rsid w:val="00854DAE"/>
    <w:rsid w:val="008554D4"/>
    <w:rsid w:val="00856877"/>
    <w:rsid w:val="00856911"/>
    <w:rsid w:val="00857664"/>
    <w:rsid w:val="00857E4F"/>
    <w:rsid w:val="00860009"/>
    <w:rsid w:val="008601A1"/>
    <w:rsid w:val="00860B55"/>
    <w:rsid w:val="00861994"/>
    <w:rsid w:val="00861D3D"/>
    <w:rsid w:val="008620BF"/>
    <w:rsid w:val="00862487"/>
    <w:rsid w:val="008624D6"/>
    <w:rsid w:val="008627B2"/>
    <w:rsid w:val="00862B31"/>
    <w:rsid w:val="00863330"/>
    <w:rsid w:val="008636C8"/>
    <w:rsid w:val="00863AAD"/>
    <w:rsid w:val="00863E0D"/>
    <w:rsid w:val="008641D8"/>
    <w:rsid w:val="00864523"/>
    <w:rsid w:val="0086470B"/>
    <w:rsid w:val="0086477F"/>
    <w:rsid w:val="008649F9"/>
    <w:rsid w:val="008657B6"/>
    <w:rsid w:val="00865C51"/>
    <w:rsid w:val="00865F2A"/>
    <w:rsid w:val="00866FC8"/>
    <w:rsid w:val="008677FD"/>
    <w:rsid w:val="0086790C"/>
    <w:rsid w:val="00867BDF"/>
    <w:rsid w:val="008701ED"/>
    <w:rsid w:val="008706D4"/>
    <w:rsid w:val="00870B0E"/>
    <w:rsid w:val="00870C8C"/>
    <w:rsid w:val="00870F8A"/>
    <w:rsid w:val="0087104B"/>
    <w:rsid w:val="0087196A"/>
    <w:rsid w:val="008719A0"/>
    <w:rsid w:val="008719A4"/>
    <w:rsid w:val="00871D23"/>
    <w:rsid w:val="00871D28"/>
    <w:rsid w:val="00872DB2"/>
    <w:rsid w:val="00872E01"/>
    <w:rsid w:val="00872FAA"/>
    <w:rsid w:val="0087310D"/>
    <w:rsid w:val="008731FE"/>
    <w:rsid w:val="00873C53"/>
    <w:rsid w:val="00873EC4"/>
    <w:rsid w:val="00874312"/>
    <w:rsid w:val="0087437C"/>
    <w:rsid w:val="00874ACE"/>
    <w:rsid w:val="008754CD"/>
    <w:rsid w:val="00875CD7"/>
    <w:rsid w:val="00875FFA"/>
    <w:rsid w:val="00876B3E"/>
    <w:rsid w:val="00876B4D"/>
    <w:rsid w:val="00876BE1"/>
    <w:rsid w:val="008774BA"/>
    <w:rsid w:val="0087779B"/>
    <w:rsid w:val="00877A60"/>
    <w:rsid w:val="00877BDE"/>
    <w:rsid w:val="00877F18"/>
    <w:rsid w:val="00880AD1"/>
    <w:rsid w:val="008810FF"/>
    <w:rsid w:val="00881840"/>
    <w:rsid w:val="00881E90"/>
    <w:rsid w:val="00882F3D"/>
    <w:rsid w:val="00882F3E"/>
    <w:rsid w:val="00883062"/>
    <w:rsid w:val="00883C12"/>
    <w:rsid w:val="00884C56"/>
    <w:rsid w:val="00884F11"/>
    <w:rsid w:val="008852B9"/>
    <w:rsid w:val="00885500"/>
    <w:rsid w:val="00885A22"/>
    <w:rsid w:val="00885B79"/>
    <w:rsid w:val="008861C3"/>
    <w:rsid w:val="00886213"/>
    <w:rsid w:val="00886D0F"/>
    <w:rsid w:val="00886E55"/>
    <w:rsid w:val="00886EC2"/>
    <w:rsid w:val="0088725F"/>
    <w:rsid w:val="008875AF"/>
    <w:rsid w:val="008878F4"/>
    <w:rsid w:val="00887BC2"/>
    <w:rsid w:val="008900FF"/>
    <w:rsid w:val="008902D0"/>
    <w:rsid w:val="008904B4"/>
    <w:rsid w:val="008904C8"/>
    <w:rsid w:val="00890969"/>
    <w:rsid w:val="00890B6A"/>
    <w:rsid w:val="0089192D"/>
    <w:rsid w:val="00891AAD"/>
    <w:rsid w:val="00891E55"/>
    <w:rsid w:val="008926F5"/>
    <w:rsid w:val="008928D7"/>
    <w:rsid w:val="008932A3"/>
    <w:rsid w:val="00893BBD"/>
    <w:rsid w:val="00893BC6"/>
    <w:rsid w:val="008940AB"/>
    <w:rsid w:val="008941E3"/>
    <w:rsid w:val="0089473F"/>
    <w:rsid w:val="00894A88"/>
    <w:rsid w:val="00894C1A"/>
    <w:rsid w:val="00895023"/>
    <w:rsid w:val="008951EB"/>
    <w:rsid w:val="0089532E"/>
    <w:rsid w:val="00895386"/>
    <w:rsid w:val="008954C6"/>
    <w:rsid w:val="00895928"/>
    <w:rsid w:val="00895939"/>
    <w:rsid w:val="00896913"/>
    <w:rsid w:val="00896C8D"/>
    <w:rsid w:val="0089742A"/>
    <w:rsid w:val="008975C7"/>
    <w:rsid w:val="00897690"/>
    <w:rsid w:val="00897BCC"/>
    <w:rsid w:val="008A0315"/>
    <w:rsid w:val="008A0ED2"/>
    <w:rsid w:val="008A21FF"/>
    <w:rsid w:val="008A27A4"/>
    <w:rsid w:val="008A2CE2"/>
    <w:rsid w:val="008A30AC"/>
    <w:rsid w:val="008A44B8"/>
    <w:rsid w:val="008A48F1"/>
    <w:rsid w:val="008A51A8"/>
    <w:rsid w:val="008A51AD"/>
    <w:rsid w:val="008A54C7"/>
    <w:rsid w:val="008A550B"/>
    <w:rsid w:val="008A56F6"/>
    <w:rsid w:val="008A5BD7"/>
    <w:rsid w:val="008A6A49"/>
    <w:rsid w:val="008A6C71"/>
    <w:rsid w:val="008A6E9C"/>
    <w:rsid w:val="008A71FC"/>
    <w:rsid w:val="008A7483"/>
    <w:rsid w:val="008A77D8"/>
    <w:rsid w:val="008A7C26"/>
    <w:rsid w:val="008B0432"/>
    <w:rsid w:val="008B0483"/>
    <w:rsid w:val="008B095F"/>
    <w:rsid w:val="008B0BD8"/>
    <w:rsid w:val="008B0EC7"/>
    <w:rsid w:val="008B120C"/>
    <w:rsid w:val="008B13C5"/>
    <w:rsid w:val="008B2604"/>
    <w:rsid w:val="008B2972"/>
    <w:rsid w:val="008B376B"/>
    <w:rsid w:val="008B37E1"/>
    <w:rsid w:val="008B39B2"/>
    <w:rsid w:val="008B3A5F"/>
    <w:rsid w:val="008B4262"/>
    <w:rsid w:val="008B45D4"/>
    <w:rsid w:val="008B4925"/>
    <w:rsid w:val="008B4BDD"/>
    <w:rsid w:val="008B51A0"/>
    <w:rsid w:val="008B52B0"/>
    <w:rsid w:val="008B58FB"/>
    <w:rsid w:val="008B592A"/>
    <w:rsid w:val="008B59A5"/>
    <w:rsid w:val="008B5E80"/>
    <w:rsid w:val="008B61FE"/>
    <w:rsid w:val="008B637F"/>
    <w:rsid w:val="008B6487"/>
    <w:rsid w:val="008B6EED"/>
    <w:rsid w:val="008B7041"/>
    <w:rsid w:val="008B74F0"/>
    <w:rsid w:val="008B76FA"/>
    <w:rsid w:val="008B7B5C"/>
    <w:rsid w:val="008C00A9"/>
    <w:rsid w:val="008C046E"/>
    <w:rsid w:val="008C0C99"/>
    <w:rsid w:val="008C0EE4"/>
    <w:rsid w:val="008C1A45"/>
    <w:rsid w:val="008C1CD5"/>
    <w:rsid w:val="008C1D03"/>
    <w:rsid w:val="008C1E30"/>
    <w:rsid w:val="008C1FCA"/>
    <w:rsid w:val="008C2017"/>
    <w:rsid w:val="008C218C"/>
    <w:rsid w:val="008C234A"/>
    <w:rsid w:val="008C286C"/>
    <w:rsid w:val="008C2A19"/>
    <w:rsid w:val="008C3451"/>
    <w:rsid w:val="008C3456"/>
    <w:rsid w:val="008C3A35"/>
    <w:rsid w:val="008C46B5"/>
    <w:rsid w:val="008C4958"/>
    <w:rsid w:val="008C4A79"/>
    <w:rsid w:val="008C4BAA"/>
    <w:rsid w:val="008C50BB"/>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1F44"/>
    <w:rsid w:val="008D2537"/>
    <w:rsid w:val="008D29C7"/>
    <w:rsid w:val="008D30C7"/>
    <w:rsid w:val="008D33AC"/>
    <w:rsid w:val="008D34F1"/>
    <w:rsid w:val="008D35EB"/>
    <w:rsid w:val="008D3931"/>
    <w:rsid w:val="008D39D8"/>
    <w:rsid w:val="008D3CFF"/>
    <w:rsid w:val="008D3EE8"/>
    <w:rsid w:val="008D400F"/>
    <w:rsid w:val="008D4427"/>
    <w:rsid w:val="008D4443"/>
    <w:rsid w:val="008D47A4"/>
    <w:rsid w:val="008D5935"/>
    <w:rsid w:val="008D5BC3"/>
    <w:rsid w:val="008D5ED6"/>
    <w:rsid w:val="008D6D1A"/>
    <w:rsid w:val="008D7CC7"/>
    <w:rsid w:val="008D7E4B"/>
    <w:rsid w:val="008E0411"/>
    <w:rsid w:val="008E065E"/>
    <w:rsid w:val="008E0927"/>
    <w:rsid w:val="008E1909"/>
    <w:rsid w:val="008E1CED"/>
    <w:rsid w:val="008E27EB"/>
    <w:rsid w:val="008E2E1C"/>
    <w:rsid w:val="008E35A3"/>
    <w:rsid w:val="008E407C"/>
    <w:rsid w:val="008E4311"/>
    <w:rsid w:val="008E4B90"/>
    <w:rsid w:val="008E50E4"/>
    <w:rsid w:val="008E53BD"/>
    <w:rsid w:val="008E5D92"/>
    <w:rsid w:val="008E61CC"/>
    <w:rsid w:val="008E6BAA"/>
    <w:rsid w:val="008E6DF5"/>
    <w:rsid w:val="008E7001"/>
    <w:rsid w:val="008E7050"/>
    <w:rsid w:val="008F01A6"/>
    <w:rsid w:val="008F07E5"/>
    <w:rsid w:val="008F1C4E"/>
    <w:rsid w:val="008F1EAB"/>
    <w:rsid w:val="008F220A"/>
    <w:rsid w:val="008F244C"/>
    <w:rsid w:val="008F312C"/>
    <w:rsid w:val="008F33DC"/>
    <w:rsid w:val="008F347F"/>
    <w:rsid w:val="008F3577"/>
    <w:rsid w:val="008F40E2"/>
    <w:rsid w:val="008F4340"/>
    <w:rsid w:val="008F44BA"/>
    <w:rsid w:val="008F477F"/>
    <w:rsid w:val="008F4CF1"/>
    <w:rsid w:val="008F59E5"/>
    <w:rsid w:val="008F61A4"/>
    <w:rsid w:val="008F68A5"/>
    <w:rsid w:val="008F6F45"/>
    <w:rsid w:val="008F7013"/>
    <w:rsid w:val="008F77A2"/>
    <w:rsid w:val="008F7B83"/>
    <w:rsid w:val="0090133E"/>
    <w:rsid w:val="009013B6"/>
    <w:rsid w:val="0090192C"/>
    <w:rsid w:val="00901E6B"/>
    <w:rsid w:val="00902081"/>
    <w:rsid w:val="00902350"/>
    <w:rsid w:val="0090239D"/>
    <w:rsid w:val="009027A0"/>
    <w:rsid w:val="00902979"/>
    <w:rsid w:val="00902AA9"/>
    <w:rsid w:val="00902D85"/>
    <w:rsid w:val="0090336B"/>
    <w:rsid w:val="00904FC1"/>
    <w:rsid w:val="0090514E"/>
    <w:rsid w:val="009053AA"/>
    <w:rsid w:val="00905A74"/>
    <w:rsid w:val="00906734"/>
    <w:rsid w:val="00906939"/>
    <w:rsid w:val="009070D1"/>
    <w:rsid w:val="00907215"/>
    <w:rsid w:val="009072BD"/>
    <w:rsid w:val="009073B3"/>
    <w:rsid w:val="00907546"/>
    <w:rsid w:val="0090782F"/>
    <w:rsid w:val="00910330"/>
    <w:rsid w:val="00910B7D"/>
    <w:rsid w:val="0091165E"/>
    <w:rsid w:val="00911DFB"/>
    <w:rsid w:val="009126AF"/>
    <w:rsid w:val="00913114"/>
    <w:rsid w:val="009131C5"/>
    <w:rsid w:val="009131FF"/>
    <w:rsid w:val="00913638"/>
    <w:rsid w:val="009139D9"/>
    <w:rsid w:val="00913FC0"/>
    <w:rsid w:val="00914520"/>
    <w:rsid w:val="00914587"/>
    <w:rsid w:val="0091472D"/>
    <w:rsid w:val="0091497A"/>
    <w:rsid w:val="00914AD8"/>
    <w:rsid w:val="00914EDC"/>
    <w:rsid w:val="00915512"/>
    <w:rsid w:val="00916079"/>
    <w:rsid w:val="009164C9"/>
    <w:rsid w:val="0091686D"/>
    <w:rsid w:val="009172CE"/>
    <w:rsid w:val="00917323"/>
    <w:rsid w:val="00917CE9"/>
    <w:rsid w:val="00917EFA"/>
    <w:rsid w:val="00920041"/>
    <w:rsid w:val="009200CA"/>
    <w:rsid w:val="00920143"/>
    <w:rsid w:val="0092076C"/>
    <w:rsid w:val="009208C0"/>
    <w:rsid w:val="009209C0"/>
    <w:rsid w:val="00920BF2"/>
    <w:rsid w:val="00920DC7"/>
    <w:rsid w:val="009211A6"/>
    <w:rsid w:val="00921721"/>
    <w:rsid w:val="00922010"/>
    <w:rsid w:val="00922671"/>
    <w:rsid w:val="00922898"/>
    <w:rsid w:val="009228E1"/>
    <w:rsid w:val="00922A8A"/>
    <w:rsid w:val="00923049"/>
    <w:rsid w:val="0092310C"/>
    <w:rsid w:val="009239CF"/>
    <w:rsid w:val="00923A20"/>
    <w:rsid w:val="00923BE8"/>
    <w:rsid w:val="00923CF5"/>
    <w:rsid w:val="0092413D"/>
    <w:rsid w:val="00925006"/>
    <w:rsid w:val="00925429"/>
    <w:rsid w:val="00925448"/>
    <w:rsid w:val="00925D3B"/>
    <w:rsid w:val="00925F68"/>
    <w:rsid w:val="009263AE"/>
    <w:rsid w:val="0092679B"/>
    <w:rsid w:val="00926BB7"/>
    <w:rsid w:val="00926F07"/>
    <w:rsid w:val="00926F8A"/>
    <w:rsid w:val="00927AA6"/>
    <w:rsid w:val="00927C18"/>
    <w:rsid w:val="00927E84"/>
    <w:rsid w:val="00930181"/>
    <w:rsid w:val="00930221"/>
    <w:rsid w:val="00930340"/>
    <w:rsid w:val="0093062E"/>
    <w:rsid w:val="009311DC"/>
    <w:rsid w:val="00931B0F"/>
    <w:rsid w:val="00931B3A"/>
    <w:rsid w:val="00931BD9"/>
    <w:rsid w:val="00931D3D"/>
    <w:rsid w:val="00931D65"/>
    <w:rsid w:val="00931FC7"/>
    <w:rsid w:val="009324C4"/>
    <w:rsid w:val="00932D2D"/>
    <w:rsid w:val="00932DF8"/>
    <w:rsid w:val="00933A29"/>
    <w:rsid w:val="00934334"/>
    <w:rsid w:val="00934365"/>
    <w:rsid w:val="00934839"/>
    <w:rsid w:val="0093502C"/>
    <w:rsid w:val="00935133"/>
    <w:rsid w:val="00935577"/>
    <w:rsid w:val="009355C2"/>
    <w:rsid w:val="009361B6"/>
    <w:rsid w:val="00936759"/>
    <w:rsid w:val="009368F3"/>
    <w:rsid w:val="00937D74"/>
    <w:rsid w:val="009404AE"/>
    <w:rsid w:val="00940D0A"/>
    <w:rsid w:val="00940F57"/>
    <w:rsid w:val="00941636"/>
    <w:rsid w:val="0094170C"/>
    <w:rsid w:val="00941CFE"/>
    <w:rsid w:val="00942066"/>
    <w:rsid w:val="009429C0"/>
    <w:rsid w:val="00942BB7"/>
    <w:rsid w:val="00943074"/>
    <w:rsid w:val="00943568"/>
    <w:rsid w:val="00943742"/>
    <w:rsid w:val="00944E13"/>
    <w:rsid w:val="00945556"/>
    <w:rsid w:val="00945AD6"/>
    <w:rsid w:val="00945C05"/>
    <w:rsid w:val="00945F97"/>
    <w:rsid w:val="009468FF"/>
    <w:rsid w:val="00946945"/>
    <w:rsid w:val="0094722D"/>
    <w:rsid w:val="0094740A"/>
    <w:rsid w:val="00947713"/>
    <w:rsid w:val="00947F1E"/>
    <w:rsid w:val="0095012A"/>
    <w:rsid w:val="00950779"/>
    <w:rsid w:val="00950C50"/>
    <w:rsid w:val="00950DE7"/>
    <w:rsid w:val="00950E0F"/>
    <w:rsid w:val="00951B1F"/>
    <w:rsid w:val="00952695"/>
    <w:rsid w:val="0095271D"/>
    <w:rsid w:val="0095306B"/>
    <w:rsid w:val="00953523"/>
    <w:rsid w:val="009538F5"/>
    <w:rsid w:val="00953920"/>
    <w:rsid w:val="00953D47"/>
    <w:rsid w:val="00953ED3"/>
    <w:rsid w:val="00954AB3"/>
    <w:rsid w:val="00955231"/>
    <w:rsid w:val="00955ED4"/>
    <w:rsid w:val="0095681E"/>
    <w:rsid w:val="00956F62"/>
    <w:rsid w:val="009572D4"/>
    <w:rsid w:val="00957C4E"/>
    <w:rsid w:val="00957C99"/>
    <w:rsid w:val="00957CC0"/>
    <w:rsid w:val="00960A1F"/>
    <w:rsid w:val="00960C4D"/>
    <w:rsid w:val="0096138E"/>
    <w:rsid w:val="00961921"/>
    <w:rsid w:val="00961BA4"/>
    <w:rsid w:val="009620D3"/>
    <w:rsid w:val="00962905"/>
    <w:rsid w:val="00962D2B"/>
    <w:rsid w:val="009639B4"/>
    <w:rsid w:val="009640DA"/>
    <w:rsid w:val="0096430A"/>
    <w:rsid w:val="00964611"/>
    <w:rsid w:val="00964BE3"/>
    <w:rsid w:val="00965173"/>
    <w:rsid w:val="009651C1"/>
    <w:rsid w:val="0096554B"/>
    <w:rsid w:val="0096584A"/>
    <w:rsid w:val="009660F3"/>
    <w:rsid w:val="009664BF"/>
    <w:rsid w:val="0096652E"/>
    <w:rsid w:val="00966E2F"/>
    <w:rsid w:val="00967899"/>
    <w:rsid w:val="00967A70"/>
    <w:rsid w:val="00967FE4"/>
    <w:rsid w:val="00970051"/>
    <w:rsid w:val="009704DA"/>
    <w:rsid w:val="0097054C"/>
    <w:rsid w:val="009708A3"/>
    <w:rsid w:val="00970BFB"/>
    <w:rsid w:val="00970F1D"/>
    <w:rsid w:val="00971064"/>
    <w:rsid w:val="00971B73"/>
    <w:rsid w:val="00971D51"/>
    <w:rsid w:val="00971D73"/>
    <w:rsid w:val="00971F08"/>
    <w:rsid w:val="00972CA5"/>
    <w:rsid w:val="00973BF7"/>
    <w:rsid w:val="00974533"/>
    <w:rsid w:val="00974D7E"/>
    <w:rsid w:val="0097513C"/>
    <w:rsid w:val="009753D2"/>
    <w:rsid w:val="009756D3"/>
    <w:rsid w:val="00975CC3"/>
    <w:rsid w:val="0097603D"/>
    <w:rsid w:val="009761A6"/>
    <w:rsid w:val="00976492"/>
    <w:rsid w:val="00976949"/>
    <w:rsid w:val="00976E2D"/>
    <w:rsid w:val="00977069"/>
    <w:rsid w:val="00977F53"/>
    <w:rsid w:val="009800E8"/>
    <w:rsid w:val="00980477"/>
    <w:rsid w:val="009806E8"/>
    <w:rsid w:val="00980B16"/>
    <w:rsid w:val="00980B60"/>
    <w:rsid w:val="00980CB0"/>
    <w:rsid w:val="00980DC4"/>
    <w:rsid w:val="00981BC4"/>
    <w:rsid w:val="00982469"/>
    <w:rsid w:val="0098286C"/>
    <w:rsid w:val="00982A71"/>
    <w:rsid w:val="00982F06"/>
    <w:rsid w:val="009841D5"/>
    <w:rsid w:val="0098433C"/>
    <w:rsid w:val="00984A96"/>
    <w:rsid w:val="00985253"/>
    <w:rsid w:val="009853B3"/>
    <w:rsid w:val="00985445"/>
    <w:rsid w:val="00985722"/>
    <w:rsid w:val="0098581F"/>
    <w:rsid w:val="00985A64"/>
    <w:rsid w:val="00985CB1"/>
    <w:rsid w:val="0098604F"/>
    <w:rsid w:val="00986627"/>
    <w:rsid w:val="00987053"/>
    <w:rsid w:val="00987223"/>
    <w:rsid w:val="00987307"/>
    <w:rsid w:val="00987CE6"/>
    <w:rsid w:val="00990119"/>
    <w:rsid w:val="009904ED"/>
    <w:rsid w:val="00990630"/>
    <w:rsid w:val="009907D3"/>
    <w:rsid w:val="00990FD9"/>
    <w:rsid w:val="00991168"/>
    <w:rsid w:val="00991212"/>
    <w:rsid w:val="00991761"/>
    <w:rsid w:val="0099186E"/>
    <w:rsid w:val="009919CA"/>
    <w:rsid w:val="00992E1C"/>
    <w:rsid w:val="009937BE"/>
    <w:rsid w:val="0099454B"/>
    <w:rsid w:val="00994DCA"/>
    <w:rsid w:val="00994FC7"/>
    <w:rsid w:val="00994FF3"/>
    <w:rsid w:val="00995089"/>
    <w:rsid w:val="0099547B"/>
    <w:rsid w:val="00995515"/>
    <w:rsid w:val="00995A7A"/>
    <w:rsid w:val="00995F16"/>
    <w:rsid w:val="009960EC"/>
    <w:rsid w:val="00996B6E"/>
    <w:rsid w:val="00996D68"/>
    <w:rsid w:val="009970DD"/>
    <w:rsid w:val="00997245"/>
    <w:rsid w:val="009A0141"/>
    <w:rsid w:val="009A073A"/>
    <w:rsid w:val="009A0FBA"/>
    <w:rsid w:val="009A1427"/>
    <w:rsid w:val="009A1601"/>
    <w:rsid w:val="009A197A"/>
    <w:rsid w:val="009A1CA4"/>
    <w:rsid w:val="009A1ED4"/>
    <w:rsid w:val="009A2C07"/>
    <w:rsid w:val="009A3016"/>
    <w:rsid w:val="009A3BB6"/>
    <w:rsid w:val="009A462D"/>
    <w:rsid w:val="009A4A6C"/>
    <w:rsid w:val="009A50F9"/>
    <w:rsid w:val="009A50FE"/>
    <w:rsid w:val="009A54DE"/>
    <w:rsid w:val="009A5659"/>
    <w:rsid w:val="009A5A1C"/>
    <w:rsid w:val="009A5CBA"/>
    <w:rsid w:val="009A6461"/>
    <w:rsid w:val="009A64A4"/>
    <w:rsid w:val="009A64D0"/>
    <w:rsid w:val="009A658D"/>
    <w:rsid w:val="009A7640"/>
    <w:rsid w:val="009A7AE7"/>
    <w:rsid w:val="009A7B28"/>
    <w:rsid w:val="009A7E6D"/>
    <w:rsid w:val="009B01D0"/>
    <w:rsid w:val="009B0309"/>
    <w:rsid w:val="009B1D3F"/>
    <w:rsid w:val="009B1F30"/>
    <w:rsid w:val="009B2537"/>
    <w:rsid w:val="009B274A"/>
    <w:rsid w:val="009B365B"/>
    <w:rsid w:val="009B38F4"/>
    <w:rsid w:val="009B3AC2"/>
    <w:rsid w:val="009B406E"/>
    <w:rsid w:val="009B46D9"/>
    <w:rsid w:val="009B477D"/>
    <w:rsid w:val="009B480F"/>
    <w:rsid w:val="009B4D3E"/>
    <w:rsid w:val="009B4DF4"/>
    <w:rsid w:val="009B5475"/>
    <w:rsid w:val="009B551C"/>
    <w:rsid w:val="009B564E"/>
    <w:rsid w:val="009B5B15"/>
    <w:rsid w:val="009B5ECE"/>
    <w:rsid w:val="009B6365"/>
    <w:rsid w:val="009B6F3B"/>
    <w:rsid w:val="009B70B7"/>
    <w:rsid w:val="009B754C"/>
    <w:rsid w:val="009B79C0"/>
    <w:rsid w:val="009B7D1D"/>
    <w:rsid w:val="009B7E87"/>
    <w:rsid w:val="009C0169"/>
    <w:rsid w:val="009C0179"/>
    <w:rsid w:val="009C0207"/>
    <w:rsid w:val="009C0325"/>
    <w:rsid w:val="009C089C"/>
    <w:rsid w:val="009C1502"/>
    <w:rsid w:val="009C1531"/>
    <w:rsid w:val="009C1679"/>
    <w:rsid w:val="009C2037"/>
    <w:rsid w:val="009C204A"/>
    <w:rsid w:val="009C241D"/>
    <w:rsid w:val="009C27DD"/>
    <w:rsid w:val="009C2C93"/>
    <w:rsid w:val="009C3298"/>
    <w:rsid w:val="009C33F4"/>
    <w:rsid w:val="009C3573"/>
    <w:rsid w:val="009C403E"/>
    <w:rsid w:val="009C521D"/>
    <w:rsid w:val="009C5E79"/>
    <w:rsid w:val="009C605A"/>
    <w:rsid w:val="009C6D3C"/>
    <w:rsid w:val="009C6DEA"/>
    <w:rsid w:val="009C770F"/>
    <w:rsid w:val="009C77D4"/>
    <w:rsid w:val="009C781A"/>
    <w:rsid w:val="009D037C"/>
    <w:rsid w:val="009D05DA"/>
    <w:rsid w:val="009D1513"/>
    <w:rsid w:val="009D2A46"/>
    <w:rsid w:val="009D4919"/>
    <w:rsid w:val="009D4FF0"/>
    <w:rsid w:val="009D5F3E"/>
    <w:rsid w:val="009D6A63"/>
    <w:rsid w:val="009D703C"/>
    <w:rsid w:val="009D718F"/>
    <w:rsid w:val="009D7436"/>
    <w:rsid w:val="009D7AB8"/>
    <w:rsid w:val="009E0662"/>
    <w:rsid w:val="009E068F"/>
    <w:rsid w:val="009E0FE9"/>
    <w:rsid w:val="009E1261"/>
    <w:rsid w:val="009E14E0"/>
    <w:rsid w:val="009E1690"/>
    <w:rsid w:val="009E1D55"/>
    <w:rsid w:val="009E2563"/>
    <w:rsid w:val="009E35DB"/>
    <w:rsid w:val="009E360E"/>
    <w:rsid w:val="009E3B46"/>
    <w:rsid w:val="009E40BC"/>
    <w:rsid w:val="009E43A2"/>
    <w:rsid w:val="009E47A3"/>
    <w:rsid w:val="009E489F"/>
    <w:rsid w:val="009E4F16"/>
    <w:rsid w:val="009E519C"/>
    <w:rsid w:val="009E5990"/>
    <w:rsid w:val="009E5ACA"/>
    <w:rsid w:val="009E5B05"/>
    <w:rsid w:val="009E5C6C"/>
    <w:rsid w:val="009E6BE9"/>
    <w:rsid w:val="009E7127"/>
    <w:rsid w:val="009E7626"/>
    <w:rsid w:val="009E778B"/>
    <w:rsid w:val="009E77B2"/>
    <w:rsid w:val="009E7A49"/>
    <w:rsid w:val="009E7AA9"/>
    <w:rsid w:val="009E7D3E"/>
    <w:rsid w:val="009F0300"/>
    <w:rsid w:val="009F07E0"/>
    <w:rsid w:val="009F08F3"/>
    <w:rsid w:val="009F0984"/>
    <w:rsid w:val="009F0CEB"/>
    <w:rsid w:val="009F0EDC"/>
    <w:rsid w:val="009F10C5"/>
    <w:rsid w:val="009F14E2"/>
    <w:rsid w:val="009F1654"/>
    <w:rsid w:val="009F179B"/>
    <w:rsid w:val="009F2C05"/>
    <w:rsid w:val="009F2D25"/>
    <w:rsid w:val="009F2EA0"/>
    <w:rsid w:val="009F344F"/>
    <w:rsid w:val="009F35F8"/>
    <w:rsid w:val="009F4241"/>
    <w:rsid w:val="009F4549"/>
    <w:rsid w:val="009F5007"/>
    <w:rsid w:val="009F51E0"/>
    <w:rsid w:val="009F51E5"/>
    <w:rsid w:val="009F5871"/>
    <w:rsid w:val="009F59F1"/>
    <w:rsid w:val="009F5BE4"/>
    <w:rsid w:val="009F5E05"/>
    <w:rsid w:val="009F6679"/>
    <w:rsid w:val="009F6F43"/>
    <w:rsid w:val="009F73C2"/>
    <w:rsid w:val="009F781B"/>
    <w:rsid w:val="00A001CB"/>
    <w:rsid w:val="00A0029B"/>
    <w:rsid w:val="00A00456"/>
    <w:rsid w:val="00A00EC6"/>
    <w:rsid w:val="00A014B0"/>
    <w:rsid w:val="00A02199"/>
    <w:rsid w:val="00A02AA6"/>
    <w:rsid w:val="00A031D8"/>
    <w:rsid w:val="00A03284"/>
    <w:rsid w:val="00A0375C"/>
    <w:rsid w:val="00A03A99"/>
    <w:rsid w:val="00A03C1B"/>
    <w:rsid w:val="00A04659"/>
    <w:rsid w:val="00A048A8"/>
    <w:rsid w:val="00A04AC4"/>
    <w:rsid w:val="00A04B59"/>
    <w:rsid w:val="00A04F49"/>
    <w:rsid w:val="00A05828"/>
    <w:rsid w:val="00A05CEF"/>
    <w:rsid w:val="00A05F2D"/>
    <w:rsid w:val="00A0633D"/>
    <w:rsid w:val="00A063A0"/>
    <w:rsid w:val="00A071C0"/>
    <w:rsid w:val="00A0787B"/>
    <w:rsid w:val="00A07A20"/>
    <w:rsid w:val="00A07A43"/>
    <w:rsid w:val="00A105C1"/>
    <w:rsid w:val="00A1079D"/>
    <w:rsid w:val="00A1098C"/>
    <w:rsid w:val="00A10991"/>
    <w:rsid w:val="00A11E2B"/>
    <w:rsid w:val="00A12390"/>
    <w:rsid w:val="00A1352A"/>
    <w:rsid w:val="00A136D1"/>
    <w:rsid w:val="00A139CB"/>
    <w:rsid w:val="00A13A1B"/>
    <w:rsid w:val="00A13E54"/>
    <w:rsid w:val="00A13F97"/>
    <w:rsid w:val="00A14031"/>
    <w:rsid w:val="00A141EA"/>
    <w:rsid w:val="00A167D8"/>
    <w:rsid w:val="00A16C07"/>
    <w:rsid w:val="00A16C46"/>
    <w:rsid w:val="00A1793A"/>
    <w:rsid w:val="00A179D7"/>
    <w:rsid w:val="00A17C8B"/>
    <w:rsid w:val="00A17F63"/>
    <w:rsid w:val="00A20044"/>
    <w:rsid w:val="00A2037D"/>
    <w:rsid w:val="00A2057B"/>
    <w:rsid w:val="00A205DD"/>
    <w:rsid w:val="00A20AFE"/>
    <w:rsid w:val="00A211A5"/>
    <w:rsid w:val="00A214A7"/>
    <w:rsid w:val="00A21606"/>
    <w:rsid w:val="00A2193B"/>
    <w:rsid w:val="00A2196A"/>
    <w:rsid w:val="00A21AB7"/>
    <w:rsid w:val="00A22019"/>
    <w:rsid w:val="00A22454"/>
    <w:rsid w:val="00A22997"/>
    <w:rsid w:val="00A2351A"/>
    <w:rsid w:val="00A23B6E"/>
    <w:rsid w:val="00A23CAB"/>
    <w:rsid w:val="00A23D93"/>
    <w:rsid w:val="00A23E4D"/>
    <w:rsid w:val="00A248F3"/>
    <w:rsid w:val="00A24C32"/>
    <w:rsid w:val="00A24E0D"/>
    <w:rsid w:val="00A24F08"/>
    <w:rsid w:val="00A25138"/>
    <w:rsid w:val="00A2552E"/>
    <w:rsid w:val="00A25D01"/>
    <w:rsid w:val="00A25FAB"/>
    <w:rsid w:val="00A264A9"/>
    <w:rsid w:val="00A264C1"/>
    <w:rsid w:val="00A269EC"/>
    <w:rsid w:val="00A26DCF"/>
    <w:rsid w:val="00A26E1D"/>
    <w:rsid w:val="00A26EDC"/>
    <w:rsid w:val="00A27785"/>
    <w:rsid w:val="00A30187"/>
    <w:rsid w:val="00A30538"/>
    <w:rsid w:val="00A30A03"/>
    <w:rsid w:val="00A31057"/>
    <w:rsid w:val="00A311C2"/>
    <w:rsid w:val="00A31C6F"/>
    <w:rsid w:val="00A322B3"/>
    <w:rsid w:val="00A324CE"/>
    <w:rsid w:val="00A324F8"/>
    <w:rsid w:val="00A328B0"/>
    <w:rsid w:val="00A328E6"/>
    <w:rsid w:val="00A32C4D"/>
    <w:rsid w:val="00A32EA3"/>
    <w:rsid w:val="00A32EAE"/>
    <w:rsid w:val="00A32F9F"/>
    <w:rsid w:val="00A3348F"/>
    <w:rsid w:val="00A337C4"/>
    <w:rsid w:val="00A33DDD"/>
    <w:rsid w:val="00A33EB4"/>
    <w:rsid w:val="00A3448A"/>
    <w:rsid w:val="00A34CAF"/>
    <w:rsid w:val="00A35731"/>
    <w:rsid w:val="00A359F7"/>
    <w:rsid w:val="00A35C98"/>
    <w:rsid w:val="00A36147"/>
    <w:rsid w:val="00A36275"/>
    <w:rsid w:val="00A36297"/>
    <w:rsid w:val="00A3636E"/>
    <w:rsid w:val="00A368DB"/>
    <w:rsid w:val="00A36F61"/>
    <w:rsid w:val="00A36F75"/>
    <w:rsid w:val="00A3709A"/>
    <w:rsid w:val="00A3756E"/>
    <w:rsid w:val="00A3758F"/>
    <w:rsid w:val="00A37E31"/>
    <w:rsid w:val="00A4054E"/>
    <w:rsid w:val="00A407D2"/>
    <w:rsid w:val="00A40824"/>
    <w:rsid w:val="00A41835"/>
    <w:rsid w:val="00A419BD"/>
    <w:rsid w:val="00A419CC"/>
    <w:rsid w:val="00A41E2B"/>
    <w:rsid w:val="00A42066"/>
    <w:rsid w:val="00A42170"/>
    <w:rsid w:val="00A42C90"/>
    <w:rsid w:val="00A43390"/>
    <w:rsid w:val="00A45075"/>
    <w:rsid w:val="00A45404"/>
    <w:rsid w:val="00A4589E"/>
    <w:rsid w:val="00A45A2F"/>
    <w:rsid w:val="00A45B74"/>
    <w:rsid w:val="00A45C39"/>
    <w:rsid w:val="00A46A07"/>
    <w:rsid w:val="00A46B7B"/>
    <w:rsid w:val="00A470FC"/>
    <w:rsid w:val="00A47534"/>
    <w:rsid w:val="00A4761F"/>
    <w:rsid w:val="00A47675"/>
    <w:rsid w:val="00A47D50"/>
    <w:rsid w:val="00A47F87"/>
    <w:rsid w:val="00A501FC"/>
    <w:rsid w:val="00A50787"/>
    <w:rsid w:val="00A5083F"/>
    <w:rsid w:val="00A509FE"/>
    <w:rsid w:val="00A50B20"/>
    <w:rsid w:val="00A50EF6"/>
    <w:rsid w:val="00A51324"/>
    <w:rsid w:val="00A51D8C"/>
    <w:rsid w:val="00A52094"/>
    <w:rsid w:val="00A520E7"/>
    <w:rsid w:val="00A529F4"/>
    <w:rsid w:val="00A52E1D"/>
    <w:rsid w:val="00A52E5C"/>
    <w:rsid w:val="00A5301A"/>
    <w:rsid w:val="00A53B84"/>
    <w:rsid w:val="00A53BB7"/>
    <w:rsid w:val="00A54371"/>
    <w:rsid w:val="00A54415"/>
    <w:rsid w:val="00A54A85"/>
    <w:rsid w:val="00A5515A"/>
    <w:rsid w:val="00A55873"/>
    <w:rsid w:val="00A578ED"/>
    <w:rsid w:val="00A579CE"/>
    <w:rsid w:val="00A609D2"/>
    <w:rsid w:val="00A61499"/>
    <w:rsid w:val="00A614E4"/>
    <w:rsid w:val="00A619BA"/>
    <w:rsid w:val="00A61AB8"/>
    <w:rsid w:val="00A61B44"/>
    <w:rsid w:val="00A6201D"/>
    <w:rsid w:val="00A62266"/>
    <w:rsid w:val="00A62A77"/>
    <w:rsid w:val="00A63483"/>
    <w:rsid w:val="00A64384"/>
    <w:rsid w:val="00A649A4"/>
    <w:rsid w:val="00A64A50"/>
    <w:rsid w:val="00A64B28"/>
    <w:rsid w:val="00A64D39"/>
    <w:rsid w:val="00A657D7"/>
    <w:rsid w:val="00A65865"/>
    <w:rsid w:val="00A660AC"/>
    <w:rsid w:val="00A66174"/>
    <w:rsid w:val="00A663F0"/>
    <w:rsid w:val="00A6733C"/>
    <w:rsid w:val="00A673D9"/>
    <w:rsid w:val="00A674C0"/>
    <w:rsid w:val="00A67AAA"/>
    <w:rsid w:val="00A67BDA"/>
    <w:rsid w:val="00A67E6C"/>
    <w:rsid w:val="00A706AD"/>
    <w:rsid w:val="00A708A2"/>
    <w:rsid w:val="00A711E9"/>
    <w:rsid w:val="00A71995"/>
    <w:rsid w:val="00A71B99"/>
    <w:rsid w:val="00A71F43"/>
    <w:rsid w:val="00A721C7"/>
    <w:rsid w:val="00A7308B"/>
    <w:rsid w:val="00A731CB"/>
    <w:rsid w:val="00A739D0"/>
    <w:rsid w:val="00A73D47"/>
    <w:rsid w:val="00A7419B"/>
    <w:rsid w:val="00A74C38"/>
    <w:rsid w:val="00A74D4E"/>
    <w:rsid w:val="00A75048"/>
    <w:rsid w:val="00A754C5"/>
    <w:rsid w:val="00A761D4"/>
    <w:rsid w:val="00A76457"/>
    <w:rsid w:val="00A76B59"/>
    <w:rsid w:val="00A7713D"/>
    <w:rsid w:val="00A77B08"/>
    <w:rsid w:val="00A77EC4"/>
    <w:rsid w:val="00A8085B"/>
    <w:rsid w:val="00A80C04"/>
    <w:rsid w:val="00A80C0B"/>
    <w:rsid w:val="00A819FF"/>
    <w:rsid w:val="00A81ADB"/>
    <w:rsid w:val="00A82394"/>
    <w:rsid w:val="00A824AA"/>
    <w:rsid w:val="00A845EE"/>
    <w:rsid w:val="00A84630"/>
    <w:rsid w:val="00A84880"/>
    <w:rsid w:val="00A8556B"/>
    <w:rsid w:val="00A85E0B"/>
    <w:rsid w:val="00A8608F"/>
    <w:rsid w:val="00A8628C"/>
    <w:rsid w:val="00A863C5"/>
    <w:rsid w:val="00A86AD6"/>
    <w:rsid w:val="00A86CED"/>
    <w:rsid w:val="00A8755C"/>
    <w:rsid w:val="00A8772F"/>
    <w:rsid w:val="00A8795E"/>
    <w:rsid w:val="00A90290"/>
    <w:rsid w:val="00A91486"/>
    <w:rsid w:val="00A9195E"/>
    <w:rsid w:val="00A91A00"/>
    <w:rsid w:val="00A92383"/>
    <w:rsid w:val="00A923E8"/>
    <w:rsid w:val="00A92879"/>
    <w:rsid w:val="00A92994"/>
    <w:rsid w:val="00A92A24"/>
    <w:rsid w:val="00A92ACE"/>
    <w:rsid w:val="00A92F45"/>
    <w:rsid w:val="00A92F9D"/>
    <w:rsid w:val="00A92FE0"/>
    <w:rsid w:val="00A940FB"/>
    <w:rsid w:val="00A9442A"/>
    <w:rsid w:val="00A94EF8"/>
    <w:rsid w:val="00A95411"/>
    <w:rsid w:val="00A96354"/>
    <w:rsid w:val="00A964BA"/>
    <w:rsid w:val="00A96C54"/>
    <w:rsid w:val="00A96DF3"/>
    <w:rsid w:val="00A96F07"/>
    <w:rsid w:val="00A973C6"/>
    <w:rsid w:val="00A9766B"/>
    <w:rsid w:val="00A977C2"/>
    <w:rsid w:val="00A978C2"/>
    <w:rsid w:val="00A979E9"/>
    <w:rsid w:val="00AA016F"/>
    <w:rsid w:val="00AA155B"/>
    <w:rsid w:val="00AA17B6"/>
    <w:rsid w:val="00AA1B3E"/>
    <w:rsid w:val="00AA1ED6"/>
    <w:rsid w:val="00AA1EDF"/>
    <w:rsid w:val="00AA2195"/>
    <w:rsid w:val="00AA2638"/>
    <w:rsid w:val="00AA3DDC"/>
    <w:rsid w:val="00AA475D"/>
    <w:rsid w:val="00AA4846"/>
    <w:rsid w:val="00AA51D6"/>
    <w:rsid w:val="00AA58D0"/>
    <w:rsid w:val="00AA5B37"/>
    <w:rsid w:val="00AA5E1B"/>
    <w:rsid w:val="00AA61CF"/>
    <w:rsid w:val="00AA6AA6"/>
    <w:rsid w:val="00AA75B6"/>
    <w:rsid w:val="00AB00F2"/>
    <w:rsid w:val="00AB0784"/>
    <w:rsid w:val="00AB0BC8"/>
    <w:rsid w:val="00AB1118"/>
    <w:rsid w:val="00AB11CA"/>
    <w:rsid w:val="00AB14D9"/>
    <w:rsid w:val="00AB14FB"/>
    <w:rsid w:val="00AB1A8A"/>
    <w:rsid w:val="00AB1CE1"/>
    <w:rsid w:val="00AB1DA6"/>
    <w:rsid w:val="00AB20A7"/>
    <w:rsid w:val="00AB3264"/>
    <w:rsid w:val="00AB332A"/>
    <w:rsid w:val="00AB3B7F"/>
    <w:rsid w:val="00AB4749"/>
    <w:rsid w:val="00AB47B7"/>
    <w:rsid w:val="00AB4AB8"/>
    <w:rsid w:val="00AB5608"/>
    <w:rsid w:val="00AB5F0B"/>
    <w:rsid w:val="00AB6455"/>
    <w:rsid w:val="00AB655E"/>
    <w:rsid w:val="00AB660A"/>
    <w:rsid w:val="00AB7295"/>
    <w:rsid w:val="00AB7997"/>
    <w:rsid w:val="00AC007F"/>
    <w:rsid w:val="00AC06F2"/>
    <w:rsid w:val="00AC0BD9"/>
    <w:rsid w:val="00AC1260"/>
    <w:rsid w:val="00AC1D94"/>
    <w:rsid w:val="00AC2401"/>
    <w:rsid w:val="00AC2739"/>
    <w:rsid w:val="00AC2D41"/>
    <w:rsid w:val="00AC2ECD"/>
    <w:rsid w:val="00AC2EE5"/>
    <w:rsid w:val="00AC3119"/>
    <w:rsid w:val="00AC40E2"/>
    <w:rsid w:val="00AC49FB"/>
    <w:rsid w:val="00AC4AA6"/>
    <w:rsid w:val="00AC51D5"/>
    <w:rsid w:val="00AC52B2"/>
    <w:rsid w:val="00AC5315"/>
    <w:rsid w:val="00AC5504"/>
    <w:rsid w:val="00AC5A10"/>
    <w:rsid w:val="00AC72C4"/>
    <w:rsid w:val="00AC7768"/>
    <w:rsid w:val="00AC79EB"/>
    <w:rsid w:val="00AC7C5E"/>
    <w:rsid w:val="00AC7FD0"/>
    <w:rsid w:val="00AD0075"/>
    <w:rsid w:val="00AD0530"/>
    <w:rsid w:val="00AD09C0"/>
    <w:rsid w:val="00AD0AA3"/>
    <w:rsid w:val="00AD12EC"/>
    <w:rsid w:val="00AD1474"/>
    <w:rsid w:val="00AD1A50"/>
    <w:rsid w:val="00AD1BCE"/>
    <w:rsid w:val="00AD2302"/>
    <w:rsid w:val="00AD23E2"/>
    <w:rsid w:val="00AD24D8"/>
    <w:rsid w:val="00AD2CFE"/>
    <w:rsid w:val="00AD2ED0"/>
    <w:rsid w:val="00AD2FAB"/>
    <w:rsid w:val="00AD337B"/>
    <w:rsid w:val="00AD3542"/>
    <w:rsid w:val="00AD3AAA"/>
    <w:rsid w:val="00AD3D2F"/>
    <w:rsid w:val="00AD3F94"/>
    <w:rsid w:val="00AD4124"/>
    <w:rsid w:val="00AD44B5"/>
    <w:rsid w:val="00AD4A5A"/>
    <w:rsid w:val="00AD5848"/>
    <w:rsid w:val="00AD5BC6"/>
    <w:rsid w:val="00AD6050"/>
    <w:rsid w:val="00AD660D"/>
    <w:rsid w:val="00AD7888"/>
    <w:rsid w:val="00AD7B2B"/>
    <w:rsid w:val="00AE05FD"/>
    <w:rsid w:val="00AE07F4"/>
    <w:rsid w:val="00AE09EB"/>
    <w:rsid w:val="00AE1053"/>
    <w:rsid w:val="00AE17B1"/>
    <w:rsid w:val="00AE18A4"/>
    <w:rsid w:val="00AE1C77"/>
    <w:rsid w:val="00AE27AC"/>
    <w:rsid w:val="00AE29DE"/>
    <w:rsid w:val="00AE2CD3"/>
    <w:rsid w:val="00AE32C4"/>
    <w:rsid w:val="00AE3E8C"/>
    <w:rsid w:val="00AE40E0"/>
    <w:rsid w:val="00AE444E"/>
    <w:rsid w:val="00AE451C"/>
    <w:rsid w:val="00AE4B10"/>
    <w:rsid w:val="00AE4CC2"/>
    <w:rsid w:val="00AE4DBA"/>
    <w:rsid w:val="00AE4F07"/>
    <w:rsid w:val="00AE4F5C"/>
    <w:rsid w:val="00AE5174"/>
    <w:rsid w:val="00AE54F6"/>
    <w:rsid w:val="00AE5625"/>
    <w:rsid w:val="00AE5725"/>
    <w:rsid w:val="00AE5753"/>
    <w:rsid w:val="00AE5B0F"/>
    <w:rsid w:val="00AE5C58"/>
    <w:rsid w:val="00AE6585"/>
    <w:rsid w:val="00AE662F"/>
    <w:rsid w:val="00AE6A8E"/>
    <w:rsid w:val="00AE6CE8"/>
    <w:rsid w:val="00AE7A6E"/>
    <w:rsid w:val="00AE7C8D"/>
    <w:rsid w:val="00AE7FBF"/>
    <w:rsid w:val="00AF0429"/>
    <w:rsid w:val="00AF0E3E"/>
    <w:rsid w:val="00AF0FFF"/>
    <w:rsid w:val="00AF1C5D"/>
    <w:rsid w:val="00AF3660"/>
    <w:rsid w:val="00AF388F"/>
    <w:rsid w:val="00AF3B86"/>
    <w:rsid w:val="00AF42D7"/>
    <w:rsid w:val="00AF43D4"/>
    <w:rsid w:val="00AF44BD"/>
    <w:rsid w:val="00AF469D"/>
    <w:rsid w:val="00AF4810"/>
    <w:rsid w:val="00AF56F7"/>
    <w:rsid w:val="00AF58D9"/>
    <w:rsid w:val="00AF6361"/>
    <w:rsid w:val="00AF6BF9"/>
    <w:rsid w:val="00AF6C40"/>
    <w:rsid w:val="00AF7F61"/>
    <w:rsid w:val="00B006FE"/>
    <w:rsid w:val="00B007CB"/>
    <w:rsid w:val="00B008F8"/>
    <w:rsid w:val="00B01347"/>
    <w:rsid w:val="00B02AA9"/>
    <w:rsid w:val="00B02D0C"/>
    <w:rsid w:val="00B02FA3"/>
    <w:rsid w:val="00B03093"/>
    <w:rsid w:val="00B0348E"/>
    <w:rsid w:val="00B03C21"/>
    <w:rsid w:val="00B04158"/>
    <w:rsid w:val="00B04525"/>
    <w:rsid w:val="00B04A86"/>
    <w:rsid w:val="00B04EBA"/>
    <w:rsid w:val="00B05084"/>
    <w:rsid w:val="00B05B62"/>
    <w:rsid w:val="00B05BBB"/>
    <w:rsid w:val="00B05CE6"/>
    <w:rsid w:val="00B05F7B"/>
    <w:rsid w:val="00B066B1"/>
    <w:rsid w:val="00B06DC5"/>
    <w:rsid w:val="00B06E16"/>
    <w:rsid w:val="00B06E22"/>
    <w:rsid w:val="00B06FF5"/>
    <w:rsid w:val="00B07499"/>
    <w:rsid w:val="00B07504"/>
    <w:rsid w:val="00B10644"/>
    <w:rsid w:val="00B10A0D"/>
    <w:rsid w:val="00B11396"/>
    <w:rsid w:val="00B120F5"/>
    <w:rsid w:val="00B12766"/>
    <w:rsid w:val="00B1298E"/>
    <w:rsid w:val="00B12AD1"/>
    <w:rsid w:val="00B12B14"/>
    <w:rsid w:val="00B133A3"/>
    <w:rsid w:val="00B13514"/>
    <w:rsid w:val="00B13798"/>
    <w:rsid w:val="00B13C5C"/>
    <w:rsid w:val="00B1423E"/>
    <w:rsid w:val="00B14D21"/>
    <w:rsid w:val="00B14D4B"/>
    <w:rsid w:val="00B14F5D"/>
    <w:rsid w:val="00B15150"/>
    <w:rsid w:val="00B1532E"/>
    <w:rsid w:val="00B1546D"/>
    <w:rsid w:val="00B157F9"/>
    <w:rsid w:val="00B15A1F"/>
    <w:rsid w:val="00B167C6"/>
    <w:rsid w:val="00B17519"/>
    <w:rsid w:val="00B17809"/>
    <w:rsid w:val="00B17D6C"/>
    <w:rsid w:val="00B20155"/>
    <w:rsid w:val="00B20256"/>
    <w:rsid w:val="00B207CD"/>
    <w:rsid w:val="00B20B82"/>
    <w:rsid w:val="00B20D09"/>
    <w:rsid w:val="00B20F24"/>
    <w:rsid w:val="00B21260"/>
    <w:rsid w:val="00B21451"/>
    <w:rsid w:val="00B22576"/>
    <w:rsid w:val="00B228DB"/>
    <w:rsid w:val="00B22B8C"/>
    <w:rsid w:val="00B22DD5"/>
    <w:rsid w:val="00B22E65"/>
    <w:rsid w:val="00B2322B"/>
    <w:rsid w:val="00B235BD"/>
    <w:rsid w:val="00B23657"/>
    <w:rsid w:val="00B23667"/>
    <w:rsid w:val="00B238D8"/>
    <w:rsid w:val="00B23BEE"/>
    <w:rsid w:val="00B23C65"/>
    <w:rsid w:val="00B24399"/>
    <w:rsid w:val="00B24CB7"/>
    <w:rsid w:val="00B25C70"/>
    <w:rsid w:val="00B25CD4"/>
    <w:rsid w:val="00B25F0A"/>
    <w:rsid w:val="00B2629E"/>
    <w:rsid w:val="00B26927"/>
    <w:rsid w:val="00B2763F"/>
    <w:rsid w:val="00B2778B"/>
    <w:rsid w:val="00B27AAC"/>
    <w:rsid w:val="00B27B9B"/>
    <w:rsid w:val="00B27D5B"/>
    <w:rsid w:val="00B300F7"/>
    <w:rsid w:val="00B304A9"/>
    <w:rsid w:val="00B30929"/>
    <w:rsid w:val="00B30B4A"/>
    <w:rsid w:val="00B30CA5"/>
    <w:rsid w:val="00B30D0E"/>
    <w:rsid w:val="00B316A7"/>
    <w:rsid w:val="00B31F91"/>
    <w:rsid w:val="00B31FC1"/>
    <w:rsid w:val="00B3291E"/>
    <w:rsid w:val="00B32DAC"/>
    <w:rsid w:val="00B33128"/>
    <w:rsid w:val="00B3359E"/>
    <w:rsid w:val="00B33749"/>
    <w:rsid w:val="00B3384A"/>
    <w:rsid w:val="00B33D7B"/>
    <w:rsid w:val="00B33EF9"/>
    <w:rsid w:val="00B343A1"/>
    <w:rsid w:val="00B34D12"/>
    <w:rsid w:val="00B34DDB"/>
    <w:rsid w:val="00B34E7C"/>
    <w:rsid w:val="00B34FD2"/>
    <w:rsid w:val="00B354CC"/>
    <w:rsid w:val="00B35C44"/>
    <w:rsid w:val="00B361F2"/>
    <w:rsid w:val="00B36220"/>
    <w:rsid w:val="00B3673B"/>
    <w:rsid w:val="00B3696D"/>
    <w:rsid w:val="00B36A69"/>
    <w:rsid w:val="00B372AA"/>
    <w:rsid w:val="00B3730E"/>
    <w:rsid w:val="00B3743F"/>
    <w:rsid w:val="00B37649"/>
    <w:rsid w:val="00B37FC8"/>
    <w:rsid w:val="00B40118"/>
    <w:rsid w:val="00B402DB"/>
    <w:rsid w:val="00B40445"/>
    <w:rsid w:val="00B40851"/>
    <w:rsid w:val="00B409E0"/>
    <w:rsid w:val="00B40DAB"/>
    <w:rsid w:val="00B411C8"/>
    <w:rsid w:val="00B41845"/>
    <w:rsid w:val="00B41888"/>
    <w:rsid w:val="00B41949"/>
    <w:rsid w:val="00B41CD7"/>
    <w:rsid w:val="00B423F0"/>
    <w:rsid w:val="00B431EC"/>
    <w:rsid w:val="00B43202"/>
    <w:rsid w:val="00B44834"/>
    <w:rsid w:val="00B44DED"/>
    <w:rsid w:val="00B45050"/>
    <w:rsid w:val="00B45793"/>
    <w:rsid w:val="00B4586E"/>
    <w:rsid w:val="00B45A52"/>
    <w:rsid w:val="00B45C17"/>
    <w:rsid w:val="00B46175"/>
    <w:rsid w:val="00B46D5E"/>
    <w:rsid w:val="00B46F09"/>
    <w:rsid w:val="00B47BE8"/>
    <w:rsid w:val="00B508BA"/>
    <w:rsid w:val="00B513BB"/>
    <w:rsid w:val="00B519E3"/>
    <w:rsid w:val="00B527D5"/>
    <w:rsid w:val="00B52903"/>
    <w:rsid w:val="00B52AC6"/>
    <w:rsid w:val="00B53363"/>
    <w:rsid w:val="00B53930"/>
    <w:rsid w:val="00B53B3B"/>
    <w:rsid w:val="00B548B7"/>
    <w:rsid w:val="00B549F5"/>
    <w:rsid w:val="00B55186"/>
    <w:rsid w:val="00B553EF"/>
    <w:rsid w:val="00B554F5"/>
    <w:rsid w:val="00B55FC9"/>
    <w:rsid w:val="00B568FD"/>
    <w:rsid w:val="00B56AC2"/>
    <w:rsid w:val="00B56C4A"/>
    <w:rsid w:val="00B56E23"/>
    <w:rsid w:val="00B573BE"/>
    <w:rsid w:val="00B57A70"/>
    <w:rsid w:val="00B603C0"/>
    <w:rsid w:val="00B605CF"/>
    <w:rsid w:val="00B6073A"/>
    <w:rsid w:val="00B607CD"/>
    <w:rsid w:val="00B609B2"/>
    <w:rsid w:val="00B60A25"/>
    <w:rsid w:val="00B60E34"/>
    <w:rsid w:val="00B61BE1"/>
    <w:rsid w:val="00B62448"/>
    <w:rsid w:val="00B6259C"/>
    <w:rsid w:val="00B62875"/>
    <w:rsid w:val="00B62F73"/>
    <w:rsid w:val="00B6385F"/>
    <w:rsid w:val="00B63E2C"/>
    <w:rsid w:val="00B64AAA"/>
    <w:rsid w:val="00B64AC0"/>
    <w:rsid w:val="00B6505F"/>
    <w:rsid w:val="00B6578B"/>
    <w:rsid w:val="00B6599F"/>
    <w:rsid w:val="00B65FEB"/>
    <w:rsid w:val="00B6602F"/>
    <w:rsid w:val="00B6632F"/>
    <w:rsid w:val="00B664C7"/>
    <w:rsid w:val="00B664D8"/>
    <w:rsid w:val="00B666EA"/>
    <w:rsid w:val="00B66799"/>
    <w:rsid w:val="00B66CC6"/>
    <w:rsid w:val="00B67426"/>
    <w:rsid w:val="00B67B63"/>
    <w:rsid w:val="00B7037D"/>
    <w:rsid w:val="00B7060C"/>
    <w:rsid w:val="00B7080E"/>
    <w:rsid w:val="00B723AD"/>
    <w:rsid w:val="00B72A26"/>
    <w:rsid w:val="00B72B31"/>
    <w:rsid w:val="00B72C97"/>
    <w:rsid w:val="00B73085"/>
    <w:rsid w:val="00B739F6"/>
    <w:rsid w:val="00B74275"/>
    <w:rsid w:val="00B743F3"/>
    <w:rsid w:val="00B74523"/>
    <w:rsid w:val="00B747E4"/>
    <w:rsid w:val="00B748E7"/>
    <w:rsid w:val="00B74A08"/>
    <w:rsid w:val="00B74B45"/>
    <w:rsid w:val="00B756C7"/>
    <w:rsid w:val="00B75BB0"/>
    <w:rsid w:val="00B76509"/>
    <w:rsid w:val="00B768FC"/>
    <w:rsid w:val="00B76937"/>
    <w:rsid w:val="00B77C10"/>
    <w:rsid w:val="00B8163D"/>
    <w:rsid w:val="00B81A32"/>
    <w:rsid w:val="00B81A6C"/>
    <w:rsid w:val="00B81EC0"/>
    <w:rsid w:val="00B81FF4"/>
    <w:rsid w:val="00B82237"/>
    <w:rsid w:val="00B82665"/>
    <w:rsid w:val="00B8266A"/>
    <w:rsid w:val="00B82693"/>
    <w:rsid w:val="00B827F4"/>
    <w:rsid w:val="00B828BB"/>
    <w:rsid w:val="00B8357A"/>
    <w:rsid w:val="00B836DD"/>
    <w:rsid w:val="00B84195"/>
    <w:rsid w:val="00B8458E"/>
    <w:rsid w:val="00B849D8"/>
    <w:rsid w:val="00B84A12"/>
    <w:rsid w:val="00B84A71"/>
    <w:rsid w:val="00B84CA2"/>
    <w:rsid w:val="00B84D69"/>
    <w:rsid w:val="00B85150"/>
    <w:rsid w:val="00B85235"/>
    <w:rsid w:val="00B8561C"/>
    <w:rsid w:val="00B85CE6"/>
    <w:rsid w:val="00B85DE5"/>
    <w:rsid w:val="00B85E1F"/>
    <w:rsid w:val="00B86630"/>
    <w:rsid w:val="00B8667D"/>
    <w:rsid w:val="00B86693"/>
    <w:rsid w:val="00B86727"/>
    <w:rsid w:val="00B8745A"/>
    <w:rsid w:val="00B877A2"/>
    <w:rsid w:val="00B879D1"/>
    <w:rsid w:val="00B90032"/>
    <w:rsid w:val="00B909C2"/>
    <w:rsid w:val="00B90BF8"/>
    <w:rsid w:val="00B90DEF"/>
    <w:rsid w:val="00B90F73"/>
    <w:rsid w:val="00B91EDB"/>
    <w:rsid w:val="00B92011"/>
    <w:rsid w:val="00B92280"/>
    <w:rsid w:val="00B9287B"/>
    <w:rsid w:val="00B92D99"/>
    <w:rsid w:val="00B93B59"/>
    <w:rsid w:val="00B9406A"/>
    <w:rsid w:val="00B9408D"/>
    <w:rsid w:val="00B94216"/>
    <w:rsid w:val="00B942C4"/>
    <w:rsid w:val="00B9499D"/>
    <w:rsid w:val="00B94A35"/>
    <w:rsid w:val="00B94BB8"/>
    <w:rsid w:val="00B95145"/>
    <w:rsid w:val="00B9527D"/>
    <w:rsid w:val="00B9545E"/>
    <w:rsid w:val="00B956C8"/>
    <w:rsid w:val="00B9599E"/>
    <w:rsid w:val="00B95CFF"/>
    <w:rsid w:val="00B9696B"/>
    <w:rsid w:val="00B96A1C"/>
    <w:rsid w:val="00B97484"/>
    <w:rsid w:val="00B979BA"/>
    <w:rsid w:val="00B97D2C"/>
    <w:rsid w:val="00B97D8F"/>
    <w:rsid w:val="00BA076A"/>
    <w:rsid w:val="00BA0D06"/>
    <w:rsid w:val="00BA2280"/>
    <w:rsid w:val="00BA2323"/>
    <w:rsid w:val="00BA2A08"/>
    <w:rsid w:val="00BA2D58"/>
    <w:rsid w:val="00BA4DFD"/>
    <w:rsid w:val="00BA55EC"/>
    <w:rsid w:val="00BA56D2"/>
    <w:rsid w:val="00BA6B99"/>
    <w:rsid w:val="00BA6CF2"/>
    <w:rsid w:val="00BA6EDF"/>
    <w:rsid w:val="00BA7248"/>
    <w:rsid w:val="00BA76E0"/>
    <w:rsid w:val="00BB0320"/>
    <w:rsid w:val="00BB0625"/>
    <w:rsid w:val="00BB0A66"/>
    <w:rsid w:val="00BB0D48"/>
    <w:rsid w:val="00BB100E"/>
    <w:rsid w:val="00BB15FF"/>
    <w:rsid w:val="00BB16F0"/>
    <w:rsid w:val="00BB216D"/>
    <w:rsid w:val="00BB2A25"/>
    <w:rsid w:val="00BB2CFD"/>
    <w:rsid w:val="00BB42D8"/>
    <w:rsid w:val="00BB4508"/>
    <w:rsid w:val="00BB4CEF"/>
    <w:rsid w:val="00BB51E9"/>
    <w:rsid w:val="00BB60EE"/>
    <w:rsid w:val="00BB65B3"/>
    <w:rsid w:val="00BB676F"/>
    <w:rsid w:val="00BB7649"/>
    <w:rsid w:val="00BB7C16"/>
    <w:rsid w:val="00BB7E1F"/>
    <w:rsid w:val="00BC0035"/>
    <w:rsid w:val="00BC00CA"/>
    <w:rsid w:val="00BC0FDC"/>
    <w:rsid w:val="00BC1AF2"/>
    <w:rsid w:val="00BC251D"/>
    <w:rsid w:val="00BC29EB"/>
    <w:rsid w:val="00BC2C99"/>
    <w:rsid w:val="00BC3053"/>
    <w:rsid w:val="00BC362B"/>
    <w:rsid w:val="00BC37AB"/>
    <w:rsid w:val="00BC3F78"/>
    <w:rsid w:val="00BC4095"/>
    <w:rsid w:val="00BC4230"/>
    <w:rsid w:val="00BC45C2"/>
    <w:rsid w:val="00BC4A2A"/>
    <w:rsid w:val="00BC4B40"/>
    <w:rsid w:val="00BC4D2E"/>
    <w:rsid w:val="00BC4E25"/>
    <w:rsid w:val="00BC5DEC"/>
    <w:rsid w:val="00BC6302"/>
    <w:rsid w:val="00BC68F1"/>
    <w:rsid w:val="00BC6C63"/>
    <w:rsid w:val="00BC6D6A"/>
    <w:rsid w:val="00BC6E64"/>
    <w:rsid w:val="00BC6EA9"/>
    <w:rsid w:val="00BC701E"/>
    <w:rsid w:val="00BC752B"/>
    <w:rsid w:val="00BC7703"/>
    <w:rsid w:val="00BD0278"/>
    <w:rsid w:val="00BD0418"/>
    <w:rsid w:val="00BD0629"/>
    <w:rsid w:val="00BD0AE9"/>
    <w:rsid w:val="00BD287B"/>
    <w:rsid w:val="00BD2F61"/>
    <w:rsid w:val="00BD2F8B"/>
    <w:rsid w:val="00BD3851"/>
    <w:rsid w:val="00BD389B"/>
    <w:rsid w:val="00BD3EE4"/>
    <w:rsid w:val="00BD4127"/>
    <w:rsid w:val="00BD48AC"/>
    <w:rsid w:val="00BD501F"/>
    <w:rsid w:val="00BD5B85"/>
    <w:rsid w:val="00BD5D20"/>
    <w:rsid w:val="00BD5F1A"/>
    <w:rsid w:val="00BD7004"/>
    <w:rsid w:val="00BD79F6"/>
    <w:rsid w:val="00BE0346"/>
    <w:rsid w:val="00BE061D"/>
    <w:rsid w:val="00BE0CC0"/>
    <w:rsid w:val="00BE1085"/>
    <w:rsid w:val="00BE11E8"/>
    <w:rsid w:val="00BE1234"/>
    <w:rsid w:val="00BE16E1"/>
    <w:rsid w:val="00BE17B3"/>
    <w:rsid w:val="00BE1BBD"/>
    <w:rsid w:val="00BE216A"/>
    <w:rsid w:val="00BE262F"/>
    <w:rsid w:val="00BE2663"/>
    <w:rsid w:val="00BE268B"/>
    <w:rsid w:val="00BE2722"/>
    <w:rsid w:val="00BE27F5"/>
    <w:rsid w:val="00BE2811"/>
    <w:rsid w:val="00BE2FA6"/>
    <w:rsid w:val="00BE32D5"/>
    <w:rsid w:val="00BE333F"/>
    <w:rsid w:val="00BE3924"/>
    <w:rsid w:val="00BE3CA2"/>
    <w:rsid w:val="00BE3D32"/>
    <w:rsid w:val="00BE413D"/>
    <w:rsid w:val="00BE4835"/>
    <w:rsid w:val="00BE523E"/>
    <w:rsid w:val="00BE536B"/>
    <w:rsid w:val="00BE58DE"/>
    <w:rsid w:val="00BE5B5D"/>
    <w:rsid w:val="00BE60EC"/>
    <w:rsid w:val="00BE6385"/>
    <w:rsid w:val="00BE6485"/>
    <w:rsid w:val="00BE7406"/>
    <w:rsid w:val="00BE7603"/>
    <w:rsid w:val="00BF0FBC"/>
    <w:rsid w:val="00BF1155"/>
    <w:rsid w:val="00BF164E"/>
    <w:rsid w:val="00BF1B94"/>
    <w:rsid w:val="00BF24DC"/>
    <w:rsid w:val="00BF3208"/>
    <w:rsid w:val="00BF3279"/>
    <w:rsid w:val="00BF33D6"/>
    <w:rsid w:val="00BF3979"/>
    <w:rsid w:val="00BF4616"/>
    <w:rsid w:val="00BF4662"/>
    <w:rsid w:val="00BF4C3F"/>
    <w:rsid w:val="00BF4C93"/>
    <w:rsid w:val="00BF5038"/>
    <w:rsid w:val="00BF7006"/>
    <w:rsid w:val="00BF74C7"/>
    <w:rsid w:val="00BF7E9D"/>
    <w:rsid w:val="00BF7FE3"/>
    <w:rsid w:val="00C00188"/>
    <w:rsid w:val="00C00AEA"/>
    <w:rsid w:val="00C00BE4"/>
    <w:rsid w:val="00C013C1"/>
    <w:rsid w:val="00C015F1"/>
    <w:rsid w:val="00C0172A"/>
    <w:rsid w:val="00C01AF6"/>
    <w:rsid w:val="00C01F33"/>
    <w:rsid w:val="00C025C9"/>
    <w:rsid w:val="00C02C6E"/>
    <w:rsid w:val="00C02CC6"/>
    <w:rsid w:val="00C0337B"/>
    <w:rsid w:val="00C03963"/>
    <w:rsid w:val="00C03C53"/>
    <w:rsid w:val="00C03D14"/>
    <w:rsid w:val="00C040F7"/>
    <w:rsid w:val="00C044AB"/>
    <w:rsid w:val="00C0532F"/>
    <w:rsid w:val="00C05706"/>
    <w:rsid w:val="00C06864"/>
    <w:rsid w:val="00C06B87"/>
    <w:rsid w:val="00C07377"/>
    <w:rsid w:val="00C0787C"/>
    <w:rsid w:val="00C078B0"/>
    <w:rsid w:val="00C07C82"/>
    <w:rsid w:val="00C100DA"/>
    <w:rsid w:val="00C103D9"/>
    <w:rsid w:val="00C1040E"/>
    <w:rsid w:val="00C10478"/>
    <w:rsid w:val="00C10584"/>
    <w:rsid w:val="00C106E5"/>
    <w:rsid w:val="00C11DED"/>
    <w:rsid w:val="00C11E11"/>
    <w:rsid w:val="00C11E4F"/>
    <w:rsid w:val="00C1204D"/>
    <w:rsid w:val="00C120D9"/>
    <w:rsid w:val="00C12107"/>
    <w:rsid w:val="00C12744"/>
    <w:rsid w:val="00C12BFE"/>
    <w:rsid w:val="00C13B08"/>
    <w:rsid w:val="00C13C49"/>
    <w:rsid w:val="00C14963"/>
    <w:rsid w:val="00C14B76"/>
    <w:rsid w:val="00C14D4B"/>
    <w:rsid w:val="00C14E02"/>
    <w:rsid w:val="00C151AE"/>
    <w:rsid w:val="00C154BB"/>
    <w:rsid w:val="00C159A8"/>
    <w:rsid w:val="00C15A4F"/>
    <w:rsid w:val="00C165C4"/>
    <w:rsid w:val="00C169D5"/>
    <w:rsid w:val="00C169D8"/>
    <w:rsid w:val="00C16E7F"/>
    <w:rsid w:val="00C2007A"/>
    <w:rsid w:val="00C20486"/>
    <w:rsid w:val="00C20AC9"/>
    <w:rsid w:val="00C215F8"/>
    <w:rsid w:val="00C218CC"/>
    <w:rsid w:val="00C21BFF"/>
    <w:rsid w:val="00C21CE0"/>
    <w:rsid w:val="00C221CA"/>
    <w:rsid w:val="00C225CD"/>
    <w:rsid w:val="00C225FC"/>
    <w:rsid w:val="00C22739"/>
    <w:rsid w:val="00C22ABC"/>
    <w:rsid w:val="00C22C85"/>
    <w:rsid w:val="00C2309B"/>
    <w:rsid w:val="00C232AC"/>
    <w:rsid w:val="00C2377D"/>
    <w:rsid w:val="00C23790"/>
    <w:rsid w:val="00C239C8"/>
    <w:rsid w:val="00C23FB7"/>
    <w:rsid w:val="00C24398"/>
    <w:rsid w:val="00C247F0"/>
    <w:rsid w:val="00C25389"/>
    <w:rsid w:val="00C25D41"/>
    <w:rsid w:val="00C25D52"/>
    <w:rsid w:val="00C2625B"/>
    <w:rsid w:val="00C27407"/>
    <w:rsid w:val="00C277C8"/>
    <w:rsid w:val="00C279B5"/>
    <w:rsid w:val="00C27B65"/>
    <w:rsid w:val="00C27C45"/>
    <w:rsid w:val="00C31205"/>
    <w:rsid w:val="00C31483"/>
    <w:rsid w:val="00C319C0"/>
    <w:rsid w:val="00C31D88"/>
    <w:rsid w:val="00C31F4E"/>
    <w:rsid w:val="00C32368"/>
    <w:rsid w:val="00C324B1"/>
    <w:rsid w:val="00C33011"/>
    <w:rsid w:val="00C331A8"/>
    <w:rsid w:val="00C33514"/>
    <w:rsid w:val="00C34189"/>
    <w:rsid w:val="00C342E2"/>
    <w:rsid w:val="00C347DD"/>
    <w:rsid w:val="00C358E5"/>
    <w:rsid w:val="00C369BE"/>
    <w:rsid w:val="00C36BB9"/>
    <w:rsid w:val="00C3719D"/>
    <w:rsid w:val="00C37429"/>
    <w:rsid w:val="00C37A36"/>
    <w:rsid w:val="00C37A69"/>
    <w:rsid w:val="00C37CB2"/>
    <w:rsid w:val="00C3B698"/>
    <w:rsid w:val="00C40FE4"/>
    <w:rsid w:val="00C412B4"/>
    <w:rsid w:val="00C4172C"/>
    <w:rsid w:val="00C41741"/>
    <w:rsid w:val="00C42189"/>
    <w:rsid w:val="00C42665"/>
    <w:rsid w:val="00C42695"/>
    <w:rsid w:val="00C4351B"/>
    <w:rsid w:val="00C4453C"/>
    <w:rsid w:val="00C445DB"/>
    <w:rsid w:val="00C44600"/>
    <w:rsid w:val="00C447FD"/>
    <w:rsid w:val="00C4533C"/>
    <w:rsid w:val="00C45989"/>
    <w:rsid w:val="00C45E0F"/>
    <w:rsid w:val="00C46525"/>
    <w:rsid w:val="00C46963"/>
    <w:rsid w:val="00C46DBD"/>
    <w:rsid w:val="00C46FA3"/>
    <w:rsid w:val="00C471A3"/>
    <w:rsid w:val="00C473A5"/>
    <w:rsid w:val="00C47C70"/>
    <w:rsid w:val="00C47EC8"/>
    <w:rsid w:val="00C50B58"/>
    <w:rsid w:val="00C51C5E"/>
    <w:rsid w:val="00C52261"/>
    <w:rsid w:val="00C522E2"/>
    <w:rsid w:val="00C5248C"/>
    <w:rsid w:val="00C5255C"/>
    <w:rsid w:val="00C52F0E"/>
    <w:rsid w:val="00C54995"/>
    <w:rsid w:val="00C54B71"/>
    <w:rsid w:val="00C54D41"/>
    <w:rsid w:val="00C54F19"/>
    <w:rsid w:val="00C55707"/>
    <w:rsid w:val="00C5571C"/>
    <w:rsid w:val="00C55EEB"/>
    <w:rsid w:val="00C55F37"/>
    <w:rsid w:val="00C56767"/>
    <w:rsid w:val="00C57326"/>
    <w:rsid w:val="00C60783"/>
    <w:rsid w:val="00C607F6"/>
    <w:rsid w:val="00C60B7D"/>
    <w:rsid w:val="00C60C03"/>
    <w:rsid w:val="00C60F74"/>
    <w:rsid w:val="00C612F2"/>
    <w:rsid w:val="00C61C10"/>
    <w:rsid w:val="00C61E0B"/>
    <w:rsid w:val="00C61E39"/>
    <w:rsid w:val="00C620F6"/>
    <w:rsid w:val="00C629A4"/>
    <w:rsid w:val="00C641A3"/>
    <w:rsid w:val="00C641CA"/>
    <w:rsid w:val="00C644BE"/>
    <w:rsid w:val="00C64672"/>
    <w:rsid w:val="00C67C5B"/>
    <w:rsid w:val="00C67E54"/>
    <w:rsid w:val="00C700CB"/>
    <w:rsid w:val="00C70697"/>
    <w:rsid w:val="00C7095F"/>
    <w:rsid w:val="00C71FC1"/>
    <w:rsid w:val="00C72093"/>
    <w:rsid w:val="00C723E3"/>
    <w:rsid w:val="00C7263A"/>
    <w:rsid w:val="00C72770"/>
    <w:rsid w:val="00C72EF4"/>
    <w:rsid w:val="00C72F1F"/>
    <w:rsid w:val="00C73E18"/>
    <w:rsid w:val="00C73E7A"/>
    <w:rsid w:val="00C744FE"/>
    <w:rsid w:val="00C74679"/>
    <w:rsid w:val="00C7471D"/>
    <w:rsid w:val="00C748DD"/>
    <w:rsid w:val="00C74B83"/>
    <w:rsid w:val="00C753C5"/>
    <w:rsid w:val="00C75CB0"/>
    <w:rsid w:val="00C75D2F"/>
    <w:rsid w:val="00C76739"/>
    <w:rsid w:val="00C767BE"/>
    <w:rsid w:val="00C76E3C"/>
    <w:rsid w:val="00C77E81"/>
    <w:rsid w:val="00C77F90"/>
    <w:rsid w:val="00C8045A"/>
    <w:rsid w:val="00C8047B"/>
    <w:rsid w:val="00C808E9"/>
    <w:rsid w:val="00C80A0C"/>
    <w:rsid w:val="00C81176"/>
    <w:rsid w:val="00C81293"/>
    <w:rsid w:val="00C81568"/>
    <w:rsid w:val="00C81850"/>
    <w:rsid w:val="00C82153"/>
    <w:rsid w:val="00C83079"/>
    <w:rsid w:val="00C83239"/>
    <w:rsid w:val="00C833F2"/>
    <w:rsid w:val="00C837CF"/>
    <w:rsid w:val="00C840BD"/>
    <w:rsid w:val="00C8431E"/>
    <w:rsid w:val="00C8482C"/>
    <w:rsid w:val="00C84882"/>
    <w:rsid w:val="00C8505E"/>
    <w:rsid w:val="00C85610"/>
    <w:rsid w:val="00C8569E"/>
    <w:rsid w:val="00C85C4A"/>
    <w:rsid w:val="00C872CF"/>
    <w:rsid w:val="00C875BA"/>
    <w:rsid w:val="00C878E4"/>
    <w:rsid w:val="00C9027A"/>
    <w:rsid w:val="00C9068E"/>
    <w:rsid w:val="00C9100A"/>
    <w:rsid w:val="00C91101"/>
    <w:rsid w:val="00C92473"/>
    <w:rsid w:val="00C928A4"/>
    <w:rsid w:val="00C92E53"/>
    <w:rsid w:val="00C92F32"/>
    <w:rsid w:val="00C9340B"/>
    <w:rsid w:val="00C93814"/>
    <w:rsid w:val="00C93904"/>
    <w:rsid w:val="00C93C4B"/>
    <w:rsid w:val="00C944AB"/>
    <w:rsid w:val="00C94B51"/>
    <w:rsid w:val="00C94DE9"/>
    <w:rsid w:val="00C95631"/>
    <w:rsid w:val="00C95A0D"/>
    <w:rsid w:val="00C95B40"/>
    <w:rsid w:val="00C95EE5"/>
    <w:rsid w:val="00C963C5"/>
    <w:rsid w:val="00C96721"/>
    <w:rsid w:val="00C9731C"/>
    <w:rsid w:val="00C979E4"/>
    <w:rsid w:val="00C97A2D"/>
    <w:rsid w:val="00C97B7D"/>
    <w:rsid w:val="00C97D41"/>
    <w:rsid w:val="00C97D90"/>
    <w:rsid w:val="00CA0ADE"/>
    <w:rsid w:val="00CA158A"/>
    <w:rsid w:val="00CA1ED8"/>
    <w:rsid w:val="00CA3221"/>
    <w:rsid w:val="00CA3390"/>
    <w:rsid w:val="00CA44C8"/>
    <w:rsid w:val="00CA500D"/>
    <w:rsid w:val="00CA5167"/>
    <w:rsid w:val="00CA623D"/>
    <w:rsid w:val="00CA6CAA"/>
    <w:rsid w:val="00CA7045"/>
    <w:rsid w:val="00CA7D6D"/>
    <w:rsid w:val="00CB1556"/>
    <w:rsid w:val="00CB1593"/>
    <w:rsid w:val="00CB17C5"/>
    <w:rsid w:val="00CB1F63"/>
    <w:rsid w:val="00CB2206"/>
    <w:rsid w:val="00CB2804"/>
    <w:rsid w:val="00CB2A10"/>
    <w:rsid w:val="00CB2C83"/>
    <w:rsid w:val="00CB30E5"/>
    <w:rsid w:val="00CB3486"/>
    <w:rsid w:val="00CB3583"/>
    <w:rsid w:val="00CB423C"/>
    <w:rsid w:val="00CB4547"/>
    <w:rsid w:val="00CB4958"/>
    <w:rsid w:val="00CB4960"/>
    <w:rsid w:val="00CB5FB5"/>
    <w:rsid w:val="00CB6714"/>
    <w:rsid w:val="00CB6B3C"/>
    <w:rsid w:val="00CB6B53"/>
    <w:rsid w:val="00CB7170"/>
    <w:rsid w:val="00CB7B1F"/>
    <w:rsid w:val="00CC0391"/>
    <w:rsid w:val="00CC040E"/>
    <w:rsid w:val="00CC0489"/>
    <w:rsid w:val="00CC09C9"/>
    <w:rsid w:val="00CC111F"/>
    <w:rsid w:val="00CC14E6"/>
    <w:rsid w:val="00CC181A"/>
    <w:rsid w:val="00CC2011"/>
    <w:rsid w:val="00CC20AF"/>
    <w:rsid w:val="00CC235B"/>
    <w:rsid w:val="00CC25EA"/>
    <w:rsid w:val="00CC30AA"/>
    <w:rsid w:val="00CC30B8"/>
    <w:rsid w:val="00CC30DE"/>
    <w:rsid w:val="00CC33B3"/>
    <w:rsid w:val="00CC3A35"/>
    <w:rsid w:val="00CC3B99"/>
    <w:rsid w:val="00CC3BD1"/>
    <w:rsid w:val="00CC3EA0"/>
    <w:rsid w:val="00CC3F2B"/>
    <w:rsid w:val="00CC4034"/>
    <w:rsid w:val="00CC412A"/>
    <w:rsid w:val="00CC4B54"/>
    <w:rsid w:val="00CC51EE"/>
    <w:rsid w:val="00CC6AE0"/>
    <w:rsid w:val="00CC7400"/>
    <w:rsid w:val="00CC7ADA"/>
    <w:rsid w:val="00CC7B45"/>
    <w:rsid w:val="00CD0865"/>
    <w:rsid w:val="00CD0CA9"/>
    <w:rsid w:val="00CD1188"/>
    <w:rsid w:val="00CD1EE4"/>
    <w:rsid w:val="00CD2659"/>
    <w:rsid w:val="00CD2A3C"/>
    <w:rsid w:val="00CD2ED1"/>
    <w:rsid w:val="00CD337B"/>
    <w:rsid w:val="00CD33F2"/>
    <w:rsid w:val="00CD3967"/>
    <w:rsid w:val="00CD3A48"/>
    <w:rsid w:val="00CD447B"/>
    <w:rsid w:val="00CD466E"/>
    <w:rsid w:val="00CD48E0"/>
    <w:rsid w:val="00CD59B0"/>
    <w:rsid w:val="00CD7887"/>
    <w:rsid w:val="00CE0424"/>
    <w:rsid w:val="00CE097A"/>
    <w:rsid w:val="00CE0BF7"/>
    <w:rsid w:val="00CE0E3C"/>
    <w:rsid w:val="00CE0E5B"/>
    <w:rsid w:val="00CE15A4"/>
    <w:rsid w:val="00CE2531"/>
    <w:rsid w:val="00CE2FC9"/>
    <w:rsid w:val="00CE365C"/>
    <w:rsid w:val="00CE484B"/>
    <w:rsid w:val="00CE4BE3"/>
    <w:rsid w:val="00CE502A"/>
    <w:rsid w:val="00CE5431"/>
    <w:rsid w:val="00CE595F"/>
    <w:rsid w:val="00CE646E"/>
    <w:rsid w:val="00CE6CC7"/>
    <w:rsid w:val="00CE715D"/>
    <w:rsid w:val="00CE7561"/>
    <w:rsid w:val="00CE7D67"/>
    <w:rsid w:val="00CE7E01"/>
    <w:rsid w:val="00CE7E31"/>
    <w:rsid w:val="00CE7EB0"/>
    <w:rsid w:val="00CF007F"/>
    <w:rsid w:val="00CF05D4"/>
    <w:rsid w:val="00CF0865"/>
    <w:rsid w:val="00CF0933"/>
    <w:rsid w:val="00CF1354"/>
    <w:rsid w:val="00CF1698"/>
    <w:rsid w:val="00CF16F6"/>
    <w:rsid w:val="00CF1C48"/>
    <w:rsid w:val="00CF24EE"/>
    <w:rsid w:val="00CF2710"/>
    <w:rsid w:val="00CF2885"/>
    <w:rsid w:val="00CF3B1F"/>
    <w:rsid w:val="00CF3BF6"/>
    <w:rsid w:val="00CF43A1"/>
    <w:rsid w:val="00CF47EF"/>
    <w:rsid w:val="00CF4829"/>
    <w:rsid w:val="00CF5181"/>
    <w:rsid w:val="00CF5260"/>
    <w:rsid w:val="00CF531A"/>
    <w:rsid w:val="00CF6150"/>
    <w:rsid w:val="00CF625B"/>
    <w:rsid w:val="00CF63DC"/>
    <w:rsid w:val="00CF6651"/>
    <w:rsid w:val="00CF687E"/>
    <w:rsid w:val="00CF6AD4"/>
    <w:rsid w:val="00CF6BBF"/>
    <w:rsid w:val="00CF6FDA"/>
    <w:rsid w:val="00D004EF"/>
    <w:rsid w:val="00D00F9E"/>
    <w:rsid w:val="00D020CC"/>
    <w:rsid w:val="00D02775"/>
    <w:rsid w:val="00D02921"/>
    <w:rsid w:val="00D02DAD"/>
    <w:rsid w:val="00D030F7"/>
    <w:rsid w:val="00D031EF"/>
    <w:rsid w:val="00D0349B"/>
    <w:rsid w:val="00D03A02"/>
    <w:rsid w:val="00D03FAB"/>
    <w:rsid w:val="00D044EB"/>
    <w:rsid w:val="00D0467F"/>
    <w:rsid w:val="00D0517B"/>
    <w:rsid w:val="00D0596C"/>
    <w:rsid w:val="00D0634C"/>
    <w:rsid w:val="00D0713C"/>
    <w:rsid w:val="00D10249"/>
    <w:rsid w:val="00D10953"/>
    <w:rsid w:val="00D10CA0"/>
    <w:rsid w:val="00D10D6C"/>
    <w:rsid w:val="00D10DEC"/>
    <w:rsid w:val="00D1137B"/>
    <w:rsid w:val="00D115C3"/>
    <w:rsid w:val="00D11897"/>
    <w:rsid w:val="00D11B6C"/>
    <w:rsid w:val="00D12C3C"/>
    <w:rsid w:val="00D13135"/>
    <w:rsid w:val="00D13BE8"/>
    <w:rsid w:val="00D13D39"/>
    <w:rsid w:val="00D13E0F"/>
    <w:rsid w:val="00D13E4E"/>
    <w:rsid w:val="00D13ED1"/>
    <w:rsid w:val="00D14514"/>
    <w:rsid w:val="00D1491A"/>
    <w:rsid w:val="00D14A09"/>
    <w:rsid w:val="00D14D3A"/>
    <w:rsid w:val="00D15125"/>
    <w:rsid w:val="00D15F7F"/>
    <w:rsid w:val="00D15FBC"/>
    <w:rsid w:val="00D161B5"/>
    <w:rsid w:val="00D174E3"/>
    <w:rsid w:val="00D1750E"/>
    <w:rsid w:val="00D17E30"/>
    <w:rsid w:val="00D20128"/>
    <w:rsid w:val="00D208EA"/>
    <w:rsid w:val="00D20CD3"/>
    <w:rsid w:val="00D21306"/>
    <w:rsid w:val="00D2195D"/>
    <w:rsid w:val="00D21FED"/>
    <w:rsid w:val="00D22263"/>
    <w:rsid w:val="00D22485"/>
    <w:rsid w:val="00D239A7"/>
    <w:rsid w:val="00D23F47"/>
    <w:rsid w:val="00D23FF6"/>
    <w:rsid w:val="00D249A4"/>
    <w:rsid w:val="00D250B8"/>
    <w:rsid w:val="00D25456"/>
    <w:rsid w:val="00D254DD"/>
    <w:rsid w:val="00D256D4"/>
    <w:rsid w:val="00D25B5D"/>
    <w:rsid w:val="00D25F52"/>
    <w:rsid w:val="00D261BD"/>
    <w:rsid w:val="00D26683"/>
    <w:rsid w:val="00D26D45"/>
    <w:rsid w:val="00D30335"/>
    <w:rsid w:val="00D30F76"/>
    <w:rsid w:val="00D3105A"/>
    <w:rsid w:val="00D3106B"/>
    <w:rsid w:val="00D3112A"/>
    <w:rsid w:val="00D31363"/>
    <w:rsid w:val="00D316B3"/>
    <w:rsid w:val="00D31A95"/>
    <w:rsid w:val="00D32D64"/>
    <w:rsid w:val="00D33296"/>
    <w:rsid w:val="00D33434"/>
    <w:rsid w:val="00D339B8"/>
    <w:rsid w:val="00D34081"/>
    <w:rsid w:val="00D343B4"/>
    <w:rsid w:val="00D34626"/>
    <w:rsid w:val="00D348E9"/>
    <w:rsid w:val="00D3494B"/>
    <w:rsid w:val="00D35726"/>
    <w:rsid w:val="00D35B6B"/>
    <w:rsid w:val="00D35B8C"/>
    <w:rsid w:val="00D35EF4"/>
    <w:rsid w:val="00D35FAA"/>
    <w:rsid w:val="00D3636E"/>
    <w:rsid w:val="00D36398"/>
    <w:rsid w:val="00D366DC"/>
    <w:rsid w:val="00D36D33"/>
    <w:rsid w:val="00D36E71"/>
    <w:rsid w:val="00D371CC"/>
    <w:rsid w:val="00D37233"/>
    <w:rsid w:val="00D37401"/>
    <w:rsid w:val="00D3761C"/>
    <w:rsid w:val="00D37A17"/>
    <w:rsid w:val="00D37CE1"/>
    <w:rsid w:val="00D37D87"/>
    <w:rsid w:val="00D40060"/>
    <w:rsid w:val="00D4028A"/>
    <w:rsid w:val="00D4041A"/>
    <w:rsid w:val="00D40548"/>
    <w:rsid w:val="00D40596"/>
    <w:rsid w:val="00D40723"/>
    <w:rsid w:val="00D40917"/>
    <w:rsid w:val="00D40B26"/>
    <w:rsid w:val="00D40B33"/>
    <w:rsid w:val="00D40BC3"/>
    <w:rsid w:val="00D412A2"/>
    <w:rsid w:val="00D41531"/>
    <w:rsid w:val="00D417B8"/>
    <w:rsid w:val="00D41B12"/>
    <w:rsid w:val="00D4243E"/>
    <w:rsid w:val="00D426F0"/>
    <w:rsid w:val="00D4318F"/>
    <w:rsid w:val="00D432B5"/>
    <w:rsid w:val="00D434A3"/>
    <w:rsid w:val="00D434FF"/>
    <w:rsid w:val="00D438BF"/>
    <w:rsid w:val="00D43D1A"/>
    <w:rsid w:val="00D440F8"/>
    <w:rsid w:val="00D4479D"/>
    <w:rsid w:val="00D44A01"/>
    <w:rsid w:val="00D44DFE"/>
    <w:rsid w:val="00D45BB6"/>
    <w:rsid w:val="00D45D51"/>
    <w:rsid w:val="00D46380"/>
    <w:rsid w:val="00D46B56"/>
    <w:rsid w:val="00D472E4"/>
    <w:rsid w:val="00D504EF"/>
    <w:rsid w:val="00D50829"/>
    <w:rsid w:val="00D52362"/>
    <w:rsid w:val="00D5314E"/>
    <w:rsid w:val="00D5346B"/>
    <w:rsid w:val="00D537E4"/>
    <w:rsid w:val="00D538B1"/>
    <w:rsid w:val="00D5398A"/>
    <w:rsid w:val="00D53AC8"/>
    <w:rsid w:val="00D53DAA"/>
    <w:rsid w:val="00D541A2"/>
    <w:rsid w:val="00D546FF"/>
    <w:rsid w:val="00D552A6"/>
    <w:rsid w:val="00D55415"/>
    <w:rsid w:val="00D55493"/>
    <w:rsid w:val="00D555BF"/>
    <w:rsid w:val="00D55AD5"/>
    <w:rsid w:val="00D57156"/>
    <w:rsid w:val="00D571A6"/>
    <w:rsid w:val="00D57213"/>
    <w:rsid w:val="00D576CA"/>
    <w:rsid w:val="00D57A46"/>
    <w:rsid w:val="00D57AFE"/>
    <w:rsid w:val="00D57E0F"/>
    <w:rsid w:val="00D60563"/>
    <w:rsid w:val="00D6085B"/>
    <w:rsid w:val="00D60ABF"/>
    <w:rsid w:val="00D60B3A"/>
    <w:rsid w:val="00D614D5"/>
    <w:rsid w:val="00D619EE"/>
    <w:rsid w:val="00D61ABE"/>
    <w:rsid w:val="00D61AF5"/>
    <w:rsid w:val="00D6210F"/>
    <w:rsid w:val="00D621A5"/>
    <w:rsid w:val="00D6249E"/>
    <w:rsid w:val="00D624D3"/>
    <w:rsid w:val="00D62A97"/>
    <w:rsid w:val="00D63CB5"/>
    <w:rsid w:val="00D640C2"/>
    <w:rsid w:val="00D64423"/>
    <w:rsid w:val="00D65183"/>
    <w:rsid w:val="00D652B5"/>
    <w:rsid w:val="00D6547D"/>
    <w:rsid w:val="00D656D3"/>
    <w:rsid w:val="00D65895"/>
    <w:rsid w:val="00D66155"/>
    <w:rsid w:val="00D670A2"/>
    <w:rsid w:val="00D678B4"/>
    <w:rsid w:val="00D70375"/>
    <w:rsid w:val="00D708B0"/>
    <w:rsid w:val="00D70947"/>
    <w:rsid w:val="00D70B77"/>
    <w:rsid w:val="00D70B7C"/>
    <w:rsid w:val="00D70D93"/>
    <w:rsid w:val="00D714DC"/>
    <w:rsid w:val="00D7179A"/>
    <w:rsid w:val="00D71F0D"/>
    <w:rsid w:val="00D72E49"/>
    <w:rsid w:val="00D7359F"/>
    <w:rsid w:val="00D73830"/>
    <w:rsid w:val="00D73E92"/>
    <w:rsid w:val="00D73F2B"/>
    <w:rsid w:val="00D7409C"/>
    <w:rsid w:val="00D74369"/>
    <w:rsid w:val="00D74A61"/>
    <w:rsid w:val="00D74FCE"/>
    <w:rsid w:val="00D75594"/>
    <w:rsid w:val="00D75B3D"/>
    <w:rsid w:val="00D76C62"/>
    <w:rsid w:val="00D76CC1"/>
    <w:rsid w:val="00D76EF1"/>
    <w:rsid w:val="00D77549"/>
    <w:rsid w:val="00D776E8"/>
    <w:rsid w:val="00D77B1D"/>
    <w:rsid w:val="00D77C57"/>
    <w:rsid w:val="00D77DE9"/>
    <w:rsid w:val="00D8021F"/>
    <w:rsid w:val="00D80299"/>
    <w:rsid w:val="00D80383"/>
    <w:rsid w:val="00D804A7"/>
    <w:rsid w:val="00D81AA1"/>
    <w:rsid w:val="00D81EEB"/>
    <w:rsid w:val="00D823C6"/>
    <w:rsid w:val="00D8244D"/>
    <w:rsid w:val="00D82617"/>
    <w:rsid w:val="00D82F12"/>
    <w:rsid w:val="00D82F15"/>
    <w:rsid w:val="00D8327F"/>
    <w:rsid w:val="00D83DCE"/>
    <w:rsid w:val="00D83E61"/>
    <w:rsid w:val="00D84250"/>
    <w:rsid w:val="00D85AA5"/>
    <w:rsid w:val="00D86075"/>
    <w:rsid w:val="00D86CA3"/>
    <w:rsid w:val="00D87074"/>
    <w:rsid w:val="00D871CE"/>
    <w:rsid w:val="00D871F5"/>
    <w:rsid w:val="00D873D0"/>
    <w:rsid w:val="00D878FE"/>
    <w:rsid w:val="00D87C49"/>
    <w:rsid w:val="00D87C8B"/>
    <w:rsid w:val="00D900A7"/>
    <w:rsid w:val="00D90608"/>
    <w:rsid w:val="00D90AC3"/>
    <w:rsid w:val="00D9143D"/>
    <w:rsid w:val="00D9171C"/>
    <w:rsid w:val="00D9196D"/>
    <w:rsid w:val="00D91B0F"/>
    <w:rsid w:val="00D91BE6"/>
    <w:rsid w:val="00D91C4F"/>
    <w:rsid w:val="00D91F7D"/>
    <w:rsid w:val="00D9246D"/>
    <w:rsid w:val="00D926BE"/>
    <w:rsid w:val="00D92982"/>
    <w:rsid w:val="00D92D00"/>
    <w:rsid w:val="00D92E58"/>
    <w:rsid w:val="00D92E88"/>
    <w:rsid w:val="00D93419"/>
    <w:rsid w:val="00D93587"/>
    <w:rsid w:val="00D939B4"/>
    <w:rsid w:val="00D93A59"/>
    <w:rsid w:val="00D93D7B"/>
    <w:rsid w:val="00D9564F"/>
    <w:rsid w:val="00D95BF1"/>
    <w:rsid w:val="00D96440"/>
    <w:rsid w:val="00D96A17"/>
    <w:rsid w:val="00D96C30"/>
    <w:rsid w:val="00D96D51"/>
    <w:rsid w:val="00D96ECE"/>
    <w:rsid w:val="00D9713C"/>
    <w:rsid w:val="00D975F5"/>
    <w:rsid w:val="00D9789B"/>
    <w:rsid w:val="00D97965"/>
    <w:rsid w:val="00D97C45"/>
    <w:rsid w:val="00D97C86"/>
    <w:rsid w:val="00D97E51"/>
    <w:rsid w:val="00DA0374"/>
    <w:rsid w:val="00DA0C20"/>
    <w:rsid w:val="00DA175E"/>
    <w:rsid w:val="00DA1D43"/>
    <w:rsid w:val="00DA1E14"/>
    <w:rsid w:val="00DA24B2"/>
    <w:rsid w:val="00DA2755"/>
    <w:rsid w:val="00DA2FCB"/>
    <w:rsid w:val="00DA305E"/>
    <w:rsid w:val="00DA30A6"/>
    <w:rsid w:val="00DA3A13"/>
    <w:rsid w:val="00DA3AFB"/>
    <w:rsid w:val="00DA3F87"/>
    <w:rsid w:val="00DA4837"/>
    <w:rsid w:val="00DA4AA9"/>
    <w:rsid w:val="00DA5417"/>
    <w:rsid w:val="00DA55F5"/>
    <w:rsid w:val="00DA56E8"/>
    <w:rsid w:val="00DA5711"/>
    <w:rsid w:val="00DA5866"/>
    <w:rsid w:val="00DA59D8"/>
    <w:rsid w:val="00DA66D3"/>
    <w:rsid w:val="00DA6D53"/>
    <w:rsid w:val="00DA751E"/>
    <w:rsid w:val="00DA7735"/>
    <w:rsid w:val="00DA7881"/>
    <w:rsid w:val="00DA79E5"/>
    <w:rsid w:val="00DA7EF6"/>
    <w:rsid w:val="00DB0786"/>
    <w:rsid w:val="00DB0A9F"/>
    <w:rsid w:val="00DB0B47"/>
    <w:rsid w:val="00DB1188"/>
    <w:rsid w:val="00DB14CF"/>
    <w:rsid w:val="00DB19EE"/>
    <w:rsid w:val="00DB314E"/>
    <w:rsid w:val="00DB377D"/>
    <w:rsid w:val="00DB3948"/>
    <w:rsid w:val="00DB3E54"/>
    <w:rsid w:val="00DB402A"/>
    <w:rsid w:val="00DB4110"/>
    <w:rsid w:val="00DB453E"/>
    <w:rsid w:val="00DB4DB0"/>
    <w:rsid w:val="00DB560A"/>
    <w:rsid w:val="00DB5CEF"/>
    <w:rsid w:val="00DB5E33"/>
    <w:rsid w:val="00DB66C5"/>
    <w:rsid w:val="00DB741C"/>
    <w:rsid w:val="00DB7F0A"/>
    <w:rsid w:val="00DC0408"/>
    <w:rsid w:val="00DC0881"/>
    <w:rsid w:val="00DC12C3"/>
    <w:rsid w:val="00DC175C"/>
    <w:rsid w:val="00DC18D1"/>
    <w:rsid w:val="00DC1F58"/>
    <w:rsid w:val="00DC2785"/>
    <w:rsid w:val="00DC2D36"/>
    <w:rsid w:val="00DC35DC"/>
    <w:rsid w:val="00DC37E8"/>
    <w:rsid w:val="00DC3B5B"/>
    <w:rsid w:val="00DC3F6C"/>
    <w:rsid w:val="00DC499F"/>
    <w:rsid w:val="00DC5299"/>
    <w:rsid w:val="00DC53EF"/>
    <w:rsid w:val="00DC5FCB"/>
    <w:rsid w:val="00DC657E"/>
    <w:rsid w:val="00DC6716"/>
    <w:rsid w:val="00DC6D45"/>
    <w:rsid w:val="00DC7003"/>
    <w:rsid w:val="00DC7B6A"/>
    <w:rsid w:val="00DC7C4B"/>
    <w:rsid w:val="00DC7DC3"/>
    <w:rsid w:val="00DD0268"/>
    <w:rsid w:val="00DD0429"/>
    <w:rsid w:val="00DD0AE2"/>
    <w:rsid w:val="00DD1749"/>
    <w:rsid w:val="00DD1C7D"/>
    <w:rsid w:val="00DD2559"/>
    <w:rsid w:val="00DD2C53"/>
    <w:rsid w:val="00DD36DB"/>
    <w:rsid w:val="00DD36E6"/>
    <w:rsid w:val="00DD4325"/>
    <w:rsid w:val="00DD495C"/>
    <w:rsid w:val="00DD4CC6"/>
    <w:rsid w:val="00DD4E59"/>
    <w:rsid w:val="00DD4FD3"/>
    <w:rsid w:val="00DD5898"/>
    <w:rsid w:val="00DD5C62"/>
    <w:rsid w:val="00DD5E07"/>
    <w:rsid w:val="00DD6103"/>
    <w:rsid w:val="00DD7B50"/>
    <w:rsid w:val="00DD7F37"/>
    <w:rsid w:val="00DD7F97"/>
    <w:rsid w:val="00DD7FB5"/>
    <w:rsid w:val="00DE0F8B"/>
    <w:rsid w:val="00DE13A9"/>
    <w:rsid w:val="00DE15E9"/>
    <w:rsid w:val="00DE21B1"/>
    <w:rsid w:val="00DE24E6"/>
    <w:rsid w:val="00DE2625"/>
    <w:rsid w:val="00DE2848"/>
    <w:rsid w:val="00DE2CF3"/>
    <w:rsid w:val="00DE3A92"/>
    <w:rsid w:val="00DE3FB7"/>
    <w:rsid w:val="00DE5206"/>
    <w:rsid w:val="00DE523A"/>
    <w:rsid w:val="00DE54B1"/>
    <w:rsid w:val="00DE55AC"/>
    <w:rsid w:val="00DE5608"/>
    <w:rsid w:val="00DE58D0"/>
    <w:rsid w:val="00DE5CE1"/>
    <w:rsid w:val="00DE5E41"/>
    <w:rsid w:val="00DE654F"/>
    <w:rsid w:val="00DE682D"/>
    <w:rsid w:val="00DE6C13"/>
    <w:rsid w:val="00DE7B99"/>
    <w:rsid w:val="00DE7C4C"/>
    <w:rsid w:val="00DF002D"/>
    <w:rsid w:val="00DF01F0"/>
    <w:rsid w:val="00DF06C8"/>
    <w:rsid w:val="00DF0B6E"/>
    <w:rsid w:val="00DF0E7D"/>
    <w:rsid w:val="00DF11D4"/>
    <w:rsid w:val="00DF15E0"/>
    <w:rsid w:val="00DF207F"/>
    <w:rsid w:val="00DF208C"/>
    <w:rsid w:val="00DF2211"/>
    <w:rsid w:val="00DF323C"/>
    <w:rsid w:val="00DF36DA"/>
    <w:rsid w:val="00DF37A0"/>
    <w:rsid w:val="00DF40A4"/>
    <w:rsid w:val="00DF493D"/>
    <w:rsid w:val="00DF4E01"/>
    <w:rsid w:val="00DF5085"/>
    <w:rsid w:val="00DF5898"/>
    <w:rsid w:val="00DF5B3C"/>
    <w:rsid w:val="00DF5C95"/>
    <w:rsid w:val="00DF5CD2"/>
    <w:rsid w:val="00DF5DE2"/>
    <w:rsid w:val="00DF74BE"/>
    <w:rsid w:val="00E00A71"/>
    <w:rsid w:val="00E012EF"/>
    <w:rsid w:val="00E0166E"/>
    <w:rsid w:val="00E0196E"/>
    <w:rsid w:val="00E01C9A"/>
    <w:rsid w:val="00E0236B"/>
    <w:rsid w:val="00E0251B"/>
    <w:rsid w:val="00E02E71"/>
    <w:rsid w:val="00E030F6"/>
    <w:rsid w:val="00E0377A"/>
    <w:rsid w:val="00E03813"/>
    <w:rsid w:val="00E04F6C"/>
    <w:rsid w:val="00E058A0"/>
    <w:rsid w:val="00E05C75"/>
    <w:rsid w:val="00E05CD2"/>
    <w:rsid w:val="00E061F8"/>
    <w:rsid w:val="00E062B9"/>
    <w:rsid w:val="00E065F5"/>
    <w:rsid w:val="00E0677A"/>
    <w:rsid w:val="00E06E16"/>
    <w:rsid w:val="00E07B78"/>
    <w:rsid w:val="00E101D2"/>
    <w:rsid w:val="00E10317"/>
    <w:rsid w:val="00E109CE"/>
    <w:rsid w:val="00E10A69"/>
    <w:rsid w:val="00E10A83"/>
    <w:rsid w:val="00E110E7"/>
    <w:rsid w:val="00E11228"/>
    <w:rsid w:val="00E11B20"/>
    <w:rsid w:val="00E12327"/>
    <w:rsid w:val="00E125E0"/>
    <w:rsid w:val="00E12875"/>
    <w:rsid w:val="00E12F86"/>
    <w:rsid w:val="00E14C11"/>
    <w:rsid w:val="00E15AAD"/>
    <w:rsid w:val="00E16570"/>
    <w:rsid w:val="00E1691A"/>
    <w:rsid w:val="00E1780E"/>
    <w:rsid w:val="00E17FA2"/>
    <w:rsid w:val="00E2090F"/>
    <w:rsid w:val="00E217BF"/>
    <w:rsid w:val="00E21AC7"/>
    <w:rsid w:val="00E22169"/>
    <w:rsid w:val="00E22330"/>
    <w:rsid w:val="00E2256F"/>
    <w:rsid w:val="00E23CDA"/>
    <w:rsid w:val="00E241EE"/>
    <w:rsid w:val="00E245EE"/>
    <w:rsid w:val="00E25CCF"/>
    <w:rsid w:val="00E26167"/>
    <w:rsid w:val="00E262F2"/>
    <w:rsid w:val="00E26BA6"/>
    <w:rsid w:val="00E272D4"/>
    <w:rsid w:val="00E27373"/>
    <w:rsid w:val="00E275E2"/>
    <w:rsid w:val="00E3014E"/>
    <w:rsid w:val="00E3032B"/>
    <w:rsid w:val="00E305B0"/>
    <w:rsid w:val="00E30B5A"/>
    <w:rsid w:val="00E30F36"/>
    <w:rsid w:val="00E3123D"/>
    <w:rsid w:val="00E31389"/>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6C8"/>
    <w:rsid w:val="00E358B3"/>
    <w:rsid w:val="00E367A1"/>
    <w:rsid w:val="00E36C2C"/>
    <w:rsid w:val="00E36EF9"/>
    <w:rsid w:val="00E3723A"/>
    <w:rsid w:val="00E374D4"/>
    <w:rsid w:val="00E37860"/>
    <w:rsid w:val="00E37867"/>
    <w:rsid w:val="00E40099"/>
    <w:rsid w:val="00E40473"/>
    <w:rsid w:val="00E40BA9"/>
    <w:rsid w:val="00E41073"/>
    <w:rsid w:val="00E41712"/>
    <w:rsid w:val="00E41735"/>
    <w:rsid w:val="00E41FDB"/>
    <w:rsid w:val="00E422E4"/>
    <w:rsid w:val="00E4262C"/>
    <w:rsid w:val="00E42C39"/>
    <w:rsid w:val="00E43457"/>
    <w:rsid w:val="00E43B78"/>
    <w:rsid w:val="00E43C2B"/>
    <w:rsid w:val="00E44493"/>
    <w:rsid w:val="00E4462B"/>
    <w:rsid w:val="00E446F1"/>
    <w:rsid w:val="00E45049"/>
    <w:rsid w:val="00E45145"/>
    <w:rsid w:val="00E4540C"/>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D8C"/>
    <w:rsid w:val="00E51069"/>
    <w:rsid w:val="00E51BD8"/>
    <w:rsid w:val="00E51E1A"/>
    <w:rsid w:val="00E524D4"/>
    <w:rsid w:val="00E53469"/>
    <w:rsid w:val="00E53B75"/>
    <w:rsid w:val="00E54281"/>
    <w:rsid w:val="00E5434B"/>
    <w:rsid w:val="00E544A2"/>
    <w:rsid w:val="00E54934"/>
    <w:rsid w:val="00E54950"/>
    <w:rsid w:val="00E54A45"/>
    <w:rsid w:val="00E54E3B"/>
    <w:rsid w:val="00E54F80"/>
    <w:rsid w:val="00E551D0"/>
    <w:rsid w:val="00E555AE"/>
    <w:rsid w:val="00E559F0"/>
    <w:rsid w:val="00E55A70"/>
    <w:rsid w:val="00E55F21"/>
    <w:rsid w:val="00E563BE"/>
    <w:rsid w:val="00E5679E"/>
    <w:rsid w:val="00E567A4"/>
    <w:rsid w:val="00E56938"/>
    <w:rsid w:val="00E5733C"/>
    <w:rsid w:val="00E57565"/>
    <w:rsid w:val="00E577A5"/>
    <w:rsid w:val="00E6018F"/>
    <w:rsid w:val="00E6043F"/>
    <w:rsid w:val="00E60851"/>
    <w:rsid w:val="00E60E73"/>
    <w:rsid w:val="00E6180E"/>
    <w:rsid w:val="00E62026"/>
    <w:rsid w:val="00E628A1"/>
    <w:rsid w:val="00E62C11"/>
    <w:rsid w:val="00E63838"/>
    <w:rsid w:val="00E63C1B"/>
    <w:rsid w:val="00E642D8"/>
    <w:rsid w:val="00E64434"/>
    <w:rsid w:val="00E6470C"/>
    <w:rsid w:val="00E651E2"/>
    <w:rsid w:val="00E653F5"/>
    <w:rsid w:val="00E659A6"/>
    <w:rsid w:val="00E666C4"/>
    <w:rsid w:val="00E66993"/>
    <w:rsid w:val="00E67628"/>
    <w:rsid w:val="00E67672"/>
    <w:rsid w:val="00E67B52"/>
    <w:rsid w:val="00E67C51"/>
    <w:rsid w:val="00E70033"/>
    <w:rsid w:val="00E7082B"/>
    <w:rsid w:val="00E709C3"/>
    <w:rsid w:val="00E70C67"/>
    <w:rsid w:val="00E7108E"/>
    <w:rsid w:val="00E714EC"/>
    <w:rsid w:val="00E729CE"/>
    <w:rsid w:val="00E72EFC"/>
    <w:rsid w:val="00E73586"/>
    <w:rsid w:val="00E743CB"/>
    <w:rsid w:val="00E74410"/>
    <w:rsid w:val="00E74842"/>
    <w:rsid w:val="00E7547F"/>
    <w:rsid w:val="00E758EC"/>
    <w:rsid w:val="00E760DE"/>
    <w:rsid w:val="00E7631F"/>
    <w:rsid w:val="00E76548"/>
    <w:rsid w:val="00E76553"/>
    <w:rsid w:val="00E76590"/>
    <w:rsid w:val="00E7793F"/>
    <w:rsid w:val="00E77DAF"/>
    <w:rsid w:val="00E80BDB"/>
    <w:rsid w:val="00E80F64"/>
    <w:rsid w:val="00E8150D"/>
    <w:rsid w:val="00E81584"/>
    <w:rsid w:val="00E818DB"/>
    <w:rsid w:val="00E81917"/>
    <w:rsid w:val="00E8234C"/>
    <w:rsid w:val="00E8236B"/>
    <w:rsid w:val="00E824D5"/>
    <w:rsid w:val="00E8252F"/>
    <w:rsid w:val="00E8256D"/>
    <w:rsid w:val="00E825A8"/>
    <w:rsid w:val="00E8269C"/>
    <w:rsid w:val="00E82C8F"/>
    <w:rsid w:val="00E830BD"/>
    <w:rsid w:val="00E835E6"/>
    <w:rsid w:val="00E837CD"/>
    <w:rsid w:val="00E83AA9"/>
    <w:rsid w:val="00E84037"/>
    <w:rsid w:val="00E8497E"/>
    <w:rsid w:val="00E84ACA"/>
    <w:rsid w:val="00E84DC3"/>
    <w:rsid w:val="00E85928"/>
    <w:rsid w:val="00E85BB5"/>
    <w:rsid w:val="00E86034"/>
    <w:rsid w:val="00E862DE"/>
    <w:rsid w:val="00E86F54"/>
    <w:rsid w:val="00E873CC"/>
    <w:rsid w:val="00E87822"/>
    <w:rsid w:val="00E87C9C"/>
    <w:rsid w:val="00E87FCB"/>
    <w:rsid w:val="00E90395"/>
    <w:rsid w:val="00E90A57"/>
    <w:rsid w:val="00E90E49"/>
    <w:rsid w:val="00E917F9"/>
    <w:rsid w:val="00E91B88"/>
    <w:rsid w:val="00E9291C"/>
    <w:rsid w:val="00E92F62"/>
    <w:rsid w:val="00E933D9"/>
    <w:rsid w:val="00E934FB"/>
    <w:rsid w:val="00E93FFE"/>
    <w:rsid w:val="00E9412B"/>
    <w:rsid w:val="00E941EA"/>
    <w:rsid w:val="00E94287"/>
    <w:rsid w:val="00E94B57"/>
    <w:rsid w:val="00E94F8A"/>
    <w:rsid w:val="00E951D6"/>
    <w:rsid w:val="00E953E4"/>
    <w:rsid w:val="00E954A3"/>
    <w:rsid w:val="00E95654"/>
    <w:rsid w:val="00E956AE"/>
    <w:rsid w:val="00E95B54"/>
    <w:rsid w:val="00E96ABC"/>
    <w:rsid w:val="00E97097"/>
    <w:rsid w:val="00E97E40"/>
    <w:rsid w:val="00E97FFA"/>
    <w:rsid w:val="00EA04AE"/>
    <w:rsid w:val="00EA12B3"/>
    <w:rsid w:val="00EA1330"/>
    <w:rsid w:val="00EA15F4"/>
    <w:rsid w:val="00EA1ACC"/>
    <w:rsid w:val="00EA1C44"/>
    <w:rsid w:val="00EA2104"/>
    <w:rsid w:val="00EA350B"/>
    <w:rsid w:val="00EA3512"/>
    <w:rsid w:val="00EA373A"/>
    <w:rsid w:val="00EA4CF6"/>
    <w:rsid w:val="00EA4E77"/>
    <w:rsid w:val="00EA55F9"/>
    <w:rsid w:val="00EA5B8E"/>
    <w:rsid w:val="00EA5CEB"/>
    <w:rsid w:val="00EA63C3"/>
    <w:rsid w:val="00EA6832"/>
    <w:rsid w:val="00EA69FA"/>
    <w:rsid w:val="00EA6DC3"/>
    <w:rsid w:val="00EA70DC"/>
    <w:rsid w:val="00EA78D4"/>
    <w:rsid w:val="00EA7A19"/>
    <w:rsid w:val="00EA7A41"/>
    <w:rsid w:val="00EA7E1C"/>
    <w:rsid w:val="00EB077B"/>
    <w:rsid w:val="00EB0EBF"/>
    <w:rsid w:val="00EB185B"/>
    <w:rsid w:val="00EB1A19"/>
    <w:rsid w:val="00EB1E53"/>
    <w:rsid w:val="00EB2490"/>
    <w:rsid w:val="00EB2804"/>
    <w:rsid w:val="00EB2960"/>
    <w:rsid w:val="00EB347C"/>
    <w:rsid w:val="00EB3779"/>
    <w:rsid w:val="00EB3F72"/>
    <w:rsid w:val="00EB4A31"/>
    <w:rsid w:val="00EB4BB5"/>
    <w:rsid w:val="00EB4EA2"/>
    <w:rsid w:val="00EB52F1"/>
    <w:rsid w:val="00EB5DF7"/>
    <w:rsid w:val="00EB64C3"/>
    <w:rsid w:val="00EB66DB"/>
    <w:rsid w:val="00EB6FDB"/>
    <w:rsid w:val="00EB76CB"/>
    <w:rsid w:val="00EB776A"/>
    <w:rsid w:val="00EB7AD7"/>
    <w:rsid w:val="00EB7E04"/>
    <w:rsid w:val="00EC052D"/>
    <w:rsid w:val="00EC0A9A"/>
    <w:rsid w:val="00EC0DE3"/>
    <w:rsid w:val="00EC1AE9"/>
    <w:rsid w:val="00EC1C51"/>
    <w:rsid w:val="00EC21FF"/>
    <w:rsid w:val="00EC24A9"/>
    <w:rsid w:val="00EC24D5"/>
    <w:rsid w:val="00EC27C6"/>
    <w:rsid w:val="00EC27E1"/>
    <w:rsid w:val="00EC2899"/>
    <w:rsid w:val="00EC36D7"/>
    <w:rsid w:val="00EC3753"/>
    <w:rsid w:val="00EC3E2B"/>
    <w:rsid w:val="00EC3F4E"/>
    <w:rsid w:val="00EC419E"/>
    <w:rsid w:val="00EC4207"/>
    <w:rsid w:val="00EC4330"/>
    <w:rsid w:val="00EC50A0"/>
    <w:rsid w:val="00EC5653"/>
    <w:rsid w:val="00EC6CA4"/>
    <w:rsid w:val="00EC71CE"/>
    <w:rsid w:val="00EC7502"/>
    <w:rsid w:val="00EC7A3C"/>
    <w:rsid w:val="00EC7A60"/>
    <w:rsid w:val="00ED02B8"/>
    <w:rsid w:val="00ED0DF5"/>
    <w:rsid w:val="00ED0FA8"/>
    <w:rsid w:val="00ED1006"/>
    <w:rsid w:val="00ED11DD"/>
    <w:rsid w:val="00ED195F"/>
    <w:rsid w:val="00ED1D44"/>
    <w:rsid w:val="00ED2018"/>
    <w:rsid w:val="00ED20A0"/>
    <w:rsid w:val="00ED2769"/>
    <w:rsid w:val="00ED29EA"/>
    <w:rsid w:val="00ED314F"/>
    <w:rsid w:val="00ED31F8"/>
    <w:rsid w:val="00ED3915"/>
    <w:rsid w:val="00ED43F6"/>
    <w:rsid w:val="00ED5329"/>
    <w:rsid w:val="00ED565A"/>
    <w:rsid w:val="00ED5708"/>
    <w:rsid w:val="00ED5EC8"/>
    <w:rsid w:val="00ED5FEE"/>
    <w:rsid w:val="00ED60D7"/>
    <w:rsid w:val="00ED6579"/>
    <w:rsid w:val="00ED6E7E"/>
    <w:rsid w:val="00ED735C"/>
    <w:rsid w:val="00ED7885"/>
    <w:rsid w:val="00ED7C83"/>
    <w:rsid w:val="00ED7D47"/>
    <w:rsid w:val="00ED7E04"/>
    <w:rsid w:val="00ED7EDC"/>
    <w:rsid w:val="00EE021B"/>
    <w:rsid w:val="00EE0D0A"/>
    <w:rsid w:val="00EE0DA7"/>
    <w:rsid w:val="00EE11F0"/>
    <w:rsid w:val="00EE1BA9"/>
    <w:rsid w:val="00EE1D23"/>
    <w:rsid w:val="00EE259D"/>
    <w:rsid w:val="00EE280C"/>
    <w:rsid w:val="00EE2B45"/>
    <w:rsid w:val="00EE2E29"/>
    <w:rsid w:val="00EE3262"/>
    <w:rsid w:val="00EE32FA"/>
    <w:rsid w:val="00EE33FC"/>
    <w:rsid w:val="00EE34D3"/>
    <w:rsid w:val="00EE36EE"/>
    <w:rsid w:val="00EE4093"/>
    <w:rsid w:val="00EE4339"/>
    <w:rsid w:val="00EE457C"/>
    <w:rsid w:val="00EE6737"/>
    <w:rsid w:val="00EE6A4F"/>
    <w:rsid w:val="00EE728D"/>
    <w:rsid w:val="00EE7BB0"/>
    <w:rsid w:val="00EE7D53"/>
    <w:rsid w:val="00EF04AE"/>
    <w:rsid w:val="00EF0811"/>
    <w:rsid w:val="00EF09BF"/>
    <w:rsid w:val="00EF0BF2"/>
    <w:rsid w:val="00EF0BFD"/>
    <w:rsid w:val="00EF108D"/>
    <w:rsid w:val="00EF1591"/>
    <w:rsid w:val="00EF15BC"/>
    <w:rsid w:val="00EF18FE"/>
    <w:rsid w:val="00EF1B82"/>
    <w:rsid w:val="00EF1FD8"/>
    <w:rsid w:val="00EF2A78"/>
    <w:rsid w:val="00EF33AB"/>
    <w:rsid w:val="00EF3AFC"/>
    <w:rsid w:val="00EF3CE4"/>
    <w:rsid w:val="00EF3E17"/>
    <w:rsid w:val="00EF3EEC"/>
    <w:rsid w:val="00EF42FF"/>
    <w:rsid w:val="00EF433D"/>
    <w:rsid w:val="00EF44F1"/>
    <w:rsid w:val="00EF4EFA"/>
    <w:rsid w:val="00EF5787"/>
    <w:rsid w:val="00EF5CBC"/>
    <w:rsid w:val="00EF609B"/>
    <w:rsid w:val="00EF60D0"/>
    <w:rsid w:val="00EF6FFF"/>
    <w:rsid w:val="00EF7B6A"/>
    <w:rsid w:val="00EF7C1C"/>
    <w:rsid w:val="00EF7C7D"/>
    <w:rsid w:val="00EF7F7F"/>
    <w:rsid w:val="00F00184"/>
    <w:rsid w:val="00F00233"/>
    <w:rsid w:val="00F00437"/>
    <w:rsid w:val="00F00B2C"/>
    <w:rsid w:val="00F00D1C"/>
    <w:rsid w:val="00F01159"/>
    <w:rsid w:val="00F01189"/>
    <w:rsid w:val="00F011E8"/>
    <w:rsid w:val="00F01D55"/>
    <w:rsid w:val="00F01E94"/>
    <w:rsid w:val="00F01EC0"/>
    <w:rsid w:val="00F02504"/>
    <w:rsid w:val="00F030D4"/>
    <w:rsid w:val="00F03533"/>
    <w:rsid w:val="00F0373D"/>
    <w:rsid w:val="00F0399D"/>
    <w:rsid w:val="00F04087"/>
    <w:rsid w:val="00F04D5B"/>
    <w:rsid w:val="00F04D6B"/>
    <w:rsid w:val="00F0528D"/>
    <w:rsid w:val="00F059A1"/>
    <w:rsid w:val="00F05B5C"/>
    <w:rsid w:val="00F05B84"/>
    <w:rsid w:val="00F069F7"/>
    <w:rsid w:val="00F06C67"/>
    <w:rsid w:val="00F06DFD"/>
    <w:rsid w:val="00F071D1"/>
    <w:rsid w:val="00F07533"/>
    <w:rsid w:val="00F076D1"/>
    <w:rsid w:val="00F078B8"/>
    <w:rsid w:val="00F07BE1"/>
    <w:rsid w:val="00F10629"/>
    <w:rsid w:val="00F11176"/>
    <w:rsid w:val="00F1182B"/>
    <w:rsid w:val="00F12431"/>
    <w:rsid w:val="00F12563"/>
    <w:rsid w:val="00F129DE"/>
    <w:rsid w:val="00F12CAD"/>
    <w:rsid w:val="00F13268"/>
    <w:rsid w:val="00F1344C"/>
    <w:rsid w:val="00F135EB"/>
    <w:rsid w:val="00F13F68"/>
    <w:rsid w:val="00F1412A"/>
    <w:rsid w:val="00F147D2"/>
    <w:rsid w:val="00F14E55"/>
    <w:rsid w:val="00F15159"/>
    <w:rsid w:val="00F1562F"/>
    <w:rsid w:val="00F15FA5"/>
    <w:rsid w:val="00F16588"/>
    <w:rsid w:val="00F16C98"/>
    <w:rsid w:val="00F16CCD"/>
    <w:rsid w:val="00F16E7F"/>
    <w:rsid w:val="00F178D3"/>
    <w:rsid w:val="00F17D98"/>
    <w:rsid w:val="00F17F5E"/>
    <w:rsid w:val="00F20650"/>
    <w:rsid w:val="00F209B7"/>
    <w:rsid w:val="00F20A20"/>
    <w:rsid w:val="00F20A21"/>
    <w:rsid w:val="00F21237"/>
    <w:rsid w:val="00F2168B"/>
    <w:rsid w:val="00F21742"/>
    <w:rsid w:val="00F2177A"/>
    <w:rsid w:val="00F21F34"/>
    <w:rsid w:val="00F21FC3"/>
    <w:rsid w:val="00F23336"/>
    <w:rsid w:val="00F2376F"/>
    <w:rsid w:val="00F238CA"/>
    <w:rsid w:val="00F243D8"/>
    <w:rsid w:val="00F249AC"/>
    <w:rsid w:val="00F24C55"/>
    <w:rsid w:val="00F2502B"/>
    <w:rsid w:val="00F2566D"/>
    <w:rsid w:val="00F258A7"/>
    <w:rsid w:val="00F260A9"/>
    <w:rsid w:val="00F274D1"/>
    <w:rsid w:val="00F27843"/>
    <w:rsid w:val="00F27F0E"/>
    <w:rsid w:val="00F27FE2"/>
    <w:rsid w:val="00F30620"/>
    <w:rsid w:val="00F30828"/>
    <w:rsid w:val="00F3086B"/>
    <w:rsid w:val="00F30B28"/>
    <w:rsid w:val="00F30CAA"/>
    <w:rsid w:val="00F30EB0"/>
    <w:rsid w:val="00F313D6"/>
    <w:rsid w:val="00F3206F"/>
    <w:rsid w:val="00F3232C"/>
    <w:rsid w:val="00F333B7"/>
    <w:rsid w:val="00F3396A"/>
    <w:rsid w:val="00F33D16"/>
    <w:rsid w:val="00F33E00"/>
    <w:rsid w:val="00F33EBC"/>
    <w:rsid w:val="00F33FF8"/>
    <w:rsid w:val="00F340F0"/>
    <w:rsid w:val="00F34CF2"/>
    <w:rsid w:val="00F353CC"/>
    <w:rsid w:val="00F36FA6"/>
    <w:rsid w:val="00F36FE6"/>
    <w:rsid w:val="00F4009B"/>
    <w:rsid w:val="00F400E3"/>
    <w:rsid w:val="00F402DE"/>
    <w:rsid w:val="00F40895"/>
    <w:rsid w:val="00F40977"/>
    <w:rsid w:val="00F40EDF"/>
    <w:rsid w:val="00F40F0C"/>
    <w:rsid w:val="00F4162B"/>
    <w:rsid w:val="00F41C28"/>
    <w:rsid w:val="00F41E1B"/>
    <w:rsid w:val="00F42048"/>
    <w:rsid w:val="00F421AE"/>
    <w:rsid w:val="00F4226C"/>
    <w:rsid w:val="00F43C36"/>
    <w:rsid w:val="00F43E32"/>
    <w:rsid w:val="00F44CC0"/>
    <w:rsid w:val="00F45173"/>
    <w:rsid w:val="00F4578F"/>
    <w:rsid w:val="00F458B8"/>
    <w:rsid w:val="00F468E9"/>
    <w:rsid w:val="00F46EF1"/>
    <w:rsid w:val="00F474C8"/>
    <w:rsid w:val="00F4766C"/>
    <w:rsid w:val="00F47695"/>
    <w:rsid w:val="00F47F68"/>
    <w:rsid w:val="00F504D9"/>
    <w:rsid w:val="00F505EC"/>
    <w:rsid w:val="00F5060E"/>
    <w:rsid w:val="00F507D1"/>
    <w:rsid w:val="00F50C74"/>
    <w:rsid w:val="00F50EFA"/>
    <w:rsid w:val="00F511C3"/>
    <w:rsid w:val="00F51253"/>
    <w:rsid w:val="00F519CE"/>
    <w:rsid w:val="00F51ADA"/>
    <w:rsid w:val="00F51B6E"/>
    <w:rsid w:val="00F51CAE"/>
    <w:rsid w:val="00F51D77"/>
    <w:rsid w:val="00F5386D"/>
    <w:rsid w:val="00F5594B"/>
    <w:rsid w:val="00F55BDD"/>
    <w:rsid w:val="00F562D0"/>
    <w:rsid w:val="00F56388"/>
    <w:rsid w:val="00F56E25"/>
    <w:rsid w:val="00F60203"/>
    <w:rsid w:val="00F607C5"/>
    <w:rsid w:val="00F60AF3"/>
    <w:rsid w:val="00F60DEA"/>
    <w:rsid w:val="00F61BEA"/>
    <w:rsid w:val="00F621A5"/>
    <w:rsid w:val="00F623A4"/>
    <w:rsid w:val="00F623E7"/>
    <w:rsid w:val="00F627D7"/>
    <w:rsid w:val="00F62954"/>
    <w:rsid w:val="00F6302A"/>
    <w:rsid w:val="00F63335"/>
    <w:rsid w:val="00F634F7"/>
    <w:rsid w:val="00F63950"/>
    <w:rsid w:val="00F63C1A"/>
    <w:rsid w:val="00F64133"/>
    <w:rsid w:val="00F643F2"/>
    <w:rsid w:val="00F6456F"/>
    <w:rsid w:val="00F64707"/>
    <w:rsid w:val="00F64A87"/>
    <w:rsid w:val="00F64C2B"/>
    <w:rsid w:val="00F6518D"/>
    <w:rsid w:val="00F651BE"/>
    <w:rsid w:val="00F65531"/>
    <w:rsid w:val="00F6574D"/>
    <w:rsid w:val="00F65FEF"/>
    <w:rsid w:val="00F667A5"/>
    <w:rsid w:val="00F66875"/>
    <w:rsid w:val="00F66B53"/>
    <w:rsid w:val="00F66F3A"/>
    <w:rsid w:val="00F67259"/>
    <w:rsid w:val="00F67A61"/>
    <w:rsid w:val="00F67ACD"/>
    <w:rsid w:val="00F67AFF"/>
    <w:rsid w:val="00F67D74"/>
    <w:rsid w:val="00F67ED1"/>
    <w:rsid w:val="00F67F53"/>
    <w:rsid w:val="00F703BE"/>
    <w:rsid w:val="00F70870"/>
    <w:rsid w:val="00F70A85"/>
    <w:rsid w:val="00F71116"/>
    <w:rsid w:val="00F71F69"/>
    <w:rsid w:val="00F72128"/>
    <w:rsid w:val="00F72A4C"/>
    <w:rsid w:val="00F72B72"/>
    <w:rsid w:val="00F73610"/>
    <w:rsid w:val="00F73756"/>
    <w:rsid w:val="00F738F6"/>
    <w:rsid w:val="00F73CA6"/>
    <w:rsid w:val="00F73D37"/>
    <w:rsid w:val="00F740B5"/>
    <w:rsid w:val="00F740CD"/>
    <w:rsid w:val="00F74A0C"/>
    <w:rsid w:val="00F74AD7"/>
    <w:rsid w:val="00F74BB9"/>
    <w:rsid w:val="00F74DBB"/>
    <w:rsid w:val="00F74FE0"/>
    <w:rsid w:val="00F75582"/>
    <w:rsid w:val="00F756AE"/>
    <w:rsid w:val="00F757B9"/>
    <w:rsid w:val="00F75AAC"/>
    <w:rsid w:val="00F75DD1"/>
    <w:rsid w:val="00F76090"/>
    <w:rsid w:val="00F7647E"/>
    <w:rsid w:val="00F76715"/>
    <w:rsid w:val="00F76EFA"/>
    <w:rsid w:val="00F77BD8"/>
    <w:rsid w:val="00F77E43"/>
    <w:rsid w:val="00F803C2"/>
    <w:rsid w:val="00F804BE"/>
    <w:rsid w:val="00F80C20"/>
    <w:rsid w:val="00F80DC9"/>
    <w:rsid w:val="00F8119F"/>
    <w:rsid w:val="00F817C8"/>
    <w:rsid w:val="00F817CE"/>
    <w:rsid w:val="00F8192E"/>
    <w:rsid w:val="00F8216E"/>
    <w:rsid w:val="00F8223B"/>
    <w:rsid w:val="00F822D2"/>
    <w:rsid w:val="00F82683"/>
    <w:rsid w:val="00F829F4"/>
    <w:rsid w:val="00F82ED2"/>
    <w:rsid w:val="00F837D9"/>
    <w:rsid w:val="00F83E46"/>
    <w:rsid w:val="00F8456C"/>
    <w:rsid w:val="00F84798"/>
    <w:rsid w:val="00F853DF"/>
    <w:rsid w:val="00F8572F"/>
    <w:rsid w:val="00F859D8"/>
    <w:rsid w:val="00F85E89"/>
    <w:rsid w:val="00F863AF"/>
    <w:rsid w:val="00F8678E"/>
    <w:rsid w:val="00F868F5"/>
    <w:rsid w:val="00F86BC2"/>
    <w:rsid w:val="00F87877"/>
    <w:rsid w:val="00F9005D"/>
    <w:rsid w:val="00F901AD"/>
    <w:rsid w:val="00F904AD"/>
    <w:rsid w:val="00F9056A"/>
    <w:rsid w:val="00F9064B"/>
    <w:rsid w:val="00F909D2"/>
    <w:rsid w:val="00F90B15"/>
    <w:rsid w:val="00F90F8D"/>
    <w:rsid w:val="00F91982"/>
    <w:rsid w:val="00F91C89"/>
    <w:rsid w:val="00F92047"/>
    <w:rsid w:val="00F92782"/>
    <w:rsid w:val="00F92BCC"/>
    <w:rsid w:val="00F93AA9"/>
    <w:rsid w:val="00F93BE2"/>
    <w:rsid w:val="00F93C16"/>
    <w:rsid w:val="00F940BD"/>
    <w:rsid w:val="00F9444B"/>
    <w:rsid w:val="00F949E0"/>
    <w:rsid w:val="00F94E18"/>
    <w:rsid w:val="00F94F64"/>
    <w:rsid w:val="00F9542D"/>
    <w:rsid w:val="00F95613"/>
    <w:rsid w:val="00F95EEF"/>
    <w:rsid w:val="00F960B0"/>
    <w:rsid w:val="00F963E1"/>
    <w:rsid w:val="00F96985"/>
    <w:rsid w:val="00F96D99"/>
    <w:rsid w:val="00F9726B"/>
    <w:rsid w:val="00F97838"/>
    <w:rsid w:val="00F97EFC"/>
    <w:rsid w:val="00F97F10"/>
    <w:rsid w:val="00F97F75"/>
    <w:rsid w:val="00FA082F"/>
    <w:rsid w:val="00FA1BF8"/>
    <w:rsid w:val="00FA1CD8"/>
    <w:rsid w:val="00FA20BC"/>
    <w:rsid w:val="00FA2BB3"/>
    <w:rsid w:val="00FA317C"/>
    <w:rsid w:val="00FA33FF"/>
    <w:rsid w:val="00FA3914"/>
    <w:rsid w:val="00FA3D46"/>
    <w:rsid w:val="00FA4186"/>
    <w:rsid w:val="00FA496F"/>
    <w:rsid w:val="00FA4CAA"/>
    <w:rsid w:val="00FA52D7"/>
    <w:rsid w:val="00FA62CF"/>
    <w:rsid w:val="00FA66A8"/>
    <w:rsid w:val="00FA6A75"/>
    <w:rsid w:val="00FA6C95"/>
    <w:rsid w:val="00FA7867"/>
    <w:rsid w:val="00FA7D3B"/>
    <w:rsid w:val="00FB019F"/>
    <w:rsid w:val="00FB02D6"/>
    <w:rsid w:val="00FB0C78"/>
    <w:rsid w:val="00FB10AA"/>
    <w:rsid w:val="00FB1740"/>
    <w:rsid w:val="00FB1BBD"/>
    <w:rsid w:val="00FB25A4"/>
    <w:rsid w:val="00FB2DDD"/>
    <w:rsid w:val="00FB302A"/>
    <w:rsid w:val="00FB3199"/>
    <w:rsid w:val="00FB4036"/>
    <w:rsid w:val="00FB406A"/>
    <w:rsid w:val="00FB40EF"/>
    <w:rsid w:val="00FB434D"/>
    <w:rsid w:val="00FB47C1"/>
    <w:rsid w:val="00FB4A6C"/>
    <w:rsid w:val="00FB4C80"/>
    <w:rsid w:val="00FB5320"/>
    <w:rsid w:val="00FB5E3F"/>
    <w:rsid w:val="00FB673B"/>
    <w:rsid w:val="00FB6A6A"/>
    <w:rsid w:val="00FB7D6F"/>
    <w:rsid w:val="00FC0117"/>
    <w:rsid w:val="00FC011C"/>
    <w:rsid w:val="00FC0981"/>
    <w:rsid w:val="00FC31AE"/>
    <w:rsid w:val="00FC415D"/>
    <w:rsid w:val="00FC43C3"/>
    <w:rsid w:val="00FC4967"/>
    <w:rsid w:val="00FC4BCC"/>
    <w:rsid w:val="00FC4C31"/>
    <w:rsid w:val="00FC5349"/>
    <w:rsid w:val="00FC5CFE"/>
    <w:rsid w:val="00FC66FF"/>
    <w:rsid w:val="00FC6881"/>
    <w:rsid w:val="00FC6B40"/>
    <w:rsid w:val="00FC6CDE"/>
    <w:rsid w:val="00FC71B4"/>
    <w:rsid w:val="00FC7218"/>
    <w:rsid w:val="00FC7429"/>
    <w:rsid w:val="00FC7893"/>
    <w:rsid w:val="00FC7CA2"/>
    <w:rsid w:val="00FD076F"/>
    <w:rsid w:val="00FD07F6"/>
    <w:rsid w:val="00FD0A32"/>
    <w:rsid w:val="00FD1D4F"/>
    <w:rsid w:val="00FD1EC8"/>
    <w:rsid w:val="00FD2494"/>
    <w:rsid w:val="00FD2D08"/>
    <w:rsid w:val="00FD2D9E"/>
    <w:rsid w:val="00FD3424"/>
    <w:rsid w:val="00FD4321"/>
    <w:rsid w:val="00FD45CC"/>
    <w:rsid w:val="00FD47ED"/>
    <w:rsid w:val="00FD52A9"/>
    <w:rsid w:val="00FD5805"/>
    <w:rsid w:val="00FD5AB5"/>
    <w:rsid w:val="00FD6026"/>
    <w:rsid w:val="00FD614D"/>
    <w:rsid w:val="00FD69C4"/>
    <w:rsid w:val="00FD6EE3"/>
    <w:rsid w:val="00FD7050"/>
    <w:rsid w:val="00FD732A"/>
    <w:rsid w:val="00FD74DB"/>
    <w:rsid w:val="00FD7660"/>
    <w:rsid w:val="00FE0277"/>
    <w:rsid w:val="00FE054C"/>
    <w:rsid w:val="00FE0655"/>
    <w:rsid w:val="00FE0A9B"/>
    <w:rsid w:val="00FE0B24"/>
    <w:rsid w:val="00FE0E2B"/>
    <w:rsid w:val="00FE1A8F"/>
    <w:rsid w:val="00FE1C54"/>
    <w:rsid w:val="00FE1DB6"/>
    <w:rsid w:val="00FE1E1B"/>
    <w:rsid w:val="00FE202A"/>
    <w:rsid w:val="00FE226D"/>
    <w:rsid w:val="00FE2365"/>
    <w:rsid w:val="00FE2372"/>
    <w:rsid w:val="00FE26CA"/>
    <w:rsid w:val="00FE270A"/>
    <w:rsid w:val="00FE2999"/>
    <w:rsid w:val="00FE318B"/>
    <w:rsid w:val="00FE31DC"/>
    <w:rsid w:val="00FE353C"/>
    <w:rsid w:val="00FE37D7"/>
    <w:rsid w:val="00FE388F"/>
    <w:rsid w:val="00FE3A44"/>
    <w:rsid w:val="00FE3AD5"/>
    <w:rsid w:val="00FE3D49"/>
    <w:rsid w:val="00FE3F21"/>
    <w:rsid w:val="00FE4326"/>
    <w:rsid w:val="00FE49ED"/>
    <w:rsid w:val="00FE4C7B"/>
    <w:rsid w:val="00FE4F8E"/>
    <w:rsid w:val="00FE5B37"/>
    <w:rsid w:val="00FE5C38"/>
    <w:rsid w:val="00FE5EE6"/>
    <w:rsid w:val="00FE66C0"/>
    <w:rsid w:val="00FE6780"/>
    <w:rsid w:val="00FE67D8"/>
    <w:rsid w:val="00FE7146"/>
    <w:rsid w:val="00FE7336"/>
    <w:rsid w:val="00FE787C"/>
    <w:rsid w:val="00FE7A36"/>
    <w:rsid w:val="00FE7FD8"/>
    <w:rsid w:val="00FF0D3D"/>
    <w:rsid w:val="00FF0E60"/>
    <w:rsid w:val="00FF1199"/>
    <w:rsid w:val="00FF1227"/>
    <w:rsid w:val="00FF2207"/>
    <w:rsid w:val="00FF27FB"/>
    <w:rsid w:val="00FF291C"/>
    <w:rsid w:val="00FF3004"/>
    <w:rsid w:val="00FF38A3"/>
    <w:rsid w:val="00FF3BE3"/>
    <w:rsid w:val="00FF3C8F"/>
    <w:rsid w:val="00FF3E64"/>
    <w:rsid w:val="00FF45A5"/>
    <w:rsid w:val="00FF460F"/>
    <w:rsid w:val="00FF497F"/>
    <w:rsid w:val="00FF4B8D"/>
    <w:rsid w:val="00FF5214"/>
    <w:rsid w:val="00FF583C"/>
    <w:rsid w:val="00FF5C91"/>
    <w:rsid w:val="00FF67CD"/>
    <w:rsid w:val="00FF6F71"/>
    <w:rsid w:val="00FF6F9D"/>
    <w:rsid w:val="00FF7596"/>
    <w:rsid w:val="01AE58CE"/>
    <w:rsid w:val="023F9FBB"/>
    <w:rsid w:val="061BC5A1"/>
    <w:rsid w:val="107A8C82"/>
    <w:rsid w:val="125F9FC8"/>
    <w:rsid w:val="1A6AA917"/>
    <w:rsid w:val="2131A8F4"/>
    <w:rsid w:val="21CAC4D2"/>
    <w:rsid w:val="23A942DB"/>
    <w:rsid w:val="23FF3A49"/>
    <w:rsid w:val="2437B5C9"/>
    <w:rsid w:val="2BB857D3"/>
    <w:rsid w:val="30B4F636"/>
    <w:rsid w:val="43A08102"/>
    <w:rsid w:val="452B8CE5"/>
    <w:rsid w:val="4AC67940"/>
    <w:rsid w:val="50B2DE87"/>
    <w:rsid w:val="59C2A3C1"/>
    <w:rsid w:val="5C6E24D5"/>
    <w:rsid w:val="62066F71"/>
    <w:rsid w:val="6BB8F0A2"/>
    <w:rsid w:val="6C55A415"/>
    <w:rsid w:val="6FB6DBA7"/>
    <w:rsid w:val="71CA323A"/>
    <w:rsid w:val="73E20EA6"/>
    <w:rsid w:val="76779647"/>
    <w:rsid w:val="791CC5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F367E9CB-DBCE-407B-A401-DD624F34A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07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7"/>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8159A"/>
    <w:rPr>
      <w:rFonts w:ascii="Times New Roman" w:hAnsi="Times New Roman"/>
      <w:b/>
    </w:rPr>
  </w:style>
  <w:style w:type="character" w:styleId="Mention">
    <w:name w:val="Mention"/>
    <w:basedOn w:val="DefaultParagraphFont"/>
    <w:uiPriority w:val="99"/>
    <w:unhideWhenUsed/>
    <w:rsid w:val="004B108F"/>
    <w:rPr>
      <w:color w:val="2B579A"/>
      <w:shd w:val="clear" w:color="auto" w:fill="E1DFDD"/>
    </w:rPr>
  </w:style>
  <w:style w:type="paragraph" w:styleId="Revision">
    <w:name w:val="Revision"/>
    <w:hidden/>
    <w:uiPriority w:val="99"/>
    <w:semiHidden/>
    <w:rsid w:val="007B1286"/>
    <w:rPr>
      <w:rFonts w:ascii="Times New Roman" w:hAnsi="Times New Roman"/>
      <w:lang w:eastAsia="ja-JP"/>
    </w:rPr>
  </w:style>
  <w:style w:type="paragraph" w:customStyle="1" w:styleId="IvDtabletext">
    <w:name w:val="IvD tabletext"/>
    <w:basedOn w:val="BodyText"/>
    <w:link w:val="IvDtabletextChar"/>
    <w:qFormat/>
    <w:rsid w:val="00203B00"/>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203B00"/>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6561003">
      <w:bodyDiv w:val="1"/>
      <w:marLeft w:val="0"/>
      <w:marRight w:val="0"/>
      <w:marTop w:val="0"/>
      <w:marBottom w:val="0"/>
      <w:divBdr>
        <w:top w:val="none" w:sz="0" w:space="0" w:color="auto"/>
        <w:left w:val="none" w:sz="0" w:space="0" w:color="auto"/>
        <w:bottom w:val="none" w:sz="0" w:space="0" w:color="auto"/>
        <w:right w:val="none" w:sz="0" w:space="0" w:color="auto"/>
      </w:divBdr>
    </w:div>
    <w:div w:id="12193803">
      <w:bodyDiv w:val="1"/>
      <w:marLeft w:val="0"/>
      <w:marRight w:val="0"/>
      <w:marTop w:val="0"/>
      <w:marBottom w:val="0"/>
      <w:divBdr>
        <w:top w:val="none" w:sz="0" w:space="0" w:color="auto"/>
        <w:left w:val="none" w:sz="0" w:space="0" w:color="auto"/>
        <w:bottom w:val="none" w:sz="0" w:space="0" w:color="auto"/>
        <w:right w:val="none" w:sz="0" w:space="0" w:color="auto"/>
      </w:divBdr>
    </w:div>
    <w:div w:id="920173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6366881">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4443790">
      <w:bodyDiv w:val="1"/>
      <w:marLeft w:val="0"/>
      <w:marRight w:val="0"/>
      <w:marTop w:val="0"/>
      <w:marBottom w:val="0"/>
      <w:divBdr>
        <w:top w:val="none" w:sz="0" w:space="0" w:color="auto"/>
        <w:left w:val="none" w:sz="0" w:space="0" w:color="auto"/>
        <w:bottom w:val="none" w:sz="0" w:space="0" w:color="auto"/>
        <w:right w:val="none" w:sz="0" w:space="0" w:color="auto"/>
      </w:divBdr>
    </w:div>
    <w:div w:id="235171075">
      <w:bodyDiv w:val="1"/>
      <w:marLeft w:val="0"/>
      <w:marRight w:val="0"/>
      <w:marTop w:val="0"/>
      <w:marBottom w:val="0"/>
      <w:divBdr>
        <w:top w:val="none" w:sz="0" w:space="0" w:color="auto"/>
        <w:left w:val="none" w:sz="0" w:space="0" w:color="auto"/>
        <w:bottom w:val="none" w:sz="0" w:space="0" w:color="auto"/>
        <w:right w:val="none" w:sz="0" w:space="0" w:color="auto"/>
      </w:divBdr>
      <w:divsChild>
        <w:div w:id="1524440660">
          <w:marLeft w:val="0"/>
          <w:marRight w:val="0"/>
          <w:marTop w:val="0"/>
          <w:marBottom w:val="0"/>
          <w:divBdr>
            <w:top w:val="none" w:sz="0" w:space="0" w:color="auto"/>
            <w:left w:val="none" w:sz="0" w:space="0" w:color="auto"/>
            <w:bottom w:val="none" w:sz="0" w:space="0" w:color="auto"/>
            <w:right w:val="none" w:sz="0" w:space="0" w:color="auto"/>
          </w:divBdr>
        </w:div>
      </w:divsChild>
    </w:div>
    <w:div w:id="236400583">
      <w:bodyDiv w:val="1"/>
      <w:marLeft w:val="0"/>
      <w:marRight w:val="0"/>
      <w:marTop w:val="0"/>
      <w:marBottom w:val="0"/>
      <w:divBdr>
        <w:top w:val="none" w:sz="0" w:space="0" w:color="auto"/>
        <w:left w:val="none" w:sz="0" w:space="0" w:color="auto"/>
        <w:bottom w:val="none" w:sz="0" w:space="0" w:color="auto"/>
        <w:right w:val="none" w:sz="0" w:space="0" w:color="auto"/>
      </w:divBdr>
      <w:divsChild>
        <w:div w:id="969943654">
          <w:marLeft w:val="0"/>
          <w:marRight w:val="0"/>
          <w:marTop w:val="0"/>
          <w:marBottom w:val="0"/>
          <w:divBdr>
            <w:top w:val="none" w:sz="0" w:space="0" w:color="auto"/>
            <w:left w:val="none" w:sz="0" w:space="0" w:color="auto"/>
            <w:bottom w:val="none" w:sz="0" w:space="0" w:color="auto"/>
            <w:right w:val="none" w:sz="0" w:space="0" w:color="auto"/>
          </w:divBdr>
        </w:div>
      </w:divsChild>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98923100">
      <w:bodyDiv w:val="1"/>
      <w:marLeft w:val="0"/>
      <w:marRight w:val="0"/>
      <w:marTop w:val="0"/>
      <w:marBottom w:val="0"/>
      <w:divBdr>
        <w:top w:val="none" w:sz="0" w:space="0" w:color="auto"/>
        <w:left w:val="none" w:sz="0" w:space="0" w:color="auto"/>
        <w:bottom w:val="none" w:sz="0" w:space="0" w:color="auto"/>
        <w:right w:val="none" w:sz="0" w:space="0" w:color="auto"/>
      </w:divBdr>
      <w:divsChild>
        <w:div w:id="1075131139">
          <w:marLeft w:val="0"/>
          <w:marRight w:val="0"/>
          <w:marTop w:val="0"/>
          <w:marBottom w:val="0"/>
          <w:divBdr>
            <w:top w:val="none" w:sz="0" w:space="0" w:color="auto"/>
            <w:left w:val="none" w:sz="0" w:space="0" w:color="auto"/>
            <w:bottom w:val="none" w:sz="0" w:space="0" w:color="auto"/>
            <w:right w:val="none" w:sz="0" w:space="0" w:color="auto"/>
          </w:divBdr>
        </w:div>
      </w:divsChild>
    </w:div>
    <w:div w:id="315689820">
      <w:bodyDiv w:val="1"/>
      <w:marLeft w:val="0"/>
      <w:marRight w:val="0"/>
      <w:marTop w:val="0"/>
      <w:marBottom w:val="0"/>
      <w:divBdr>
        <w:top w:val="none" w:sz="0" w:space="0" w:color="auto"/>
        <w:left w:val="none" w:sz="0" w:space="0" w:color="auto"/>
        <w:bottom w:val="none" w:sz="0" w:space="0" w:color="auto"/>
        <w:right w:val="none" w:sz="0" w:space="0" w:color="auto"/>
      </w:divBdr>
      <w:divsChild>
        <w:div w:id="2128042435">
          <w:marLeft w:val="547"/>
          <w:marRight w:val="0"/>
          <w:marTop w:val="0"/>
          <w:marBottom w:val="0"/>
          <w:divBdr>
            <w:top w:val="none" w:sz="0" w:space="0" w:color="auto"/>
            <w:left w:val="none" w:sz="0" w:space="0" w:color="auto"/>
            <w:bottom w:val="none" w:sz="0" w:space="0" w:color="auto"/>
            <w:right w:val="none" w:sz="0" w:space="0" w:color="auto"/>
          </w:divBdr>
        </w:div>
        <w:div w:id="1104806459">
          <w:marLeft w:val="547"/>
          <w:marRight w:val="0"/>
          <w:marTop w:val="0"/>
          <w:marBottom w:val="0"/>
          <w:divBdr>
            <w:top w:val="none" w:sz="0" w:space="0" w:color="auto"/>
            <w:left w:val="none" w:sz="0" w:space="0" w:color="auto"/>
            <w:bottom w:val="none" w:sz="0" w:space="0" w:color="auto"/>
            <w:right w:val="none" w:sz="0" w:space="0" w:color="auto"/>
          </w:divBdr>
        </w:div>
        <w:div w:id="1920753504">
          <w:marLeft w:val="547"/>
          <w:marRight w:val="0"/>
          <w:marTop w:val="0"/>
          <w:marBottom w:val="0"/>
          <w:divBdr>
            <w:top w:val="none" w:sz="0" w:space="0" w:color="auto"/>
            <w:left w:val="none" w:sz="0" w:space="0" w:color="auto"/>
            <w:bottom w:val="none" w:sz="0" w:space="0" w:color="auto"/>
            <w:right w:val="none" w:sz="0" w:space="0" w:color="auto"/>
          </w:divBdr>
        </w:div>
      </w:divsChild>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39744195">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8217472">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48758809">
      <w:bodyDiv w:val="1"/>
      <w:marLeft w:val="0"/>
      <w:marRight w:val="0"/>
      <w:marTop w:val="0"/>
      <w:marBottom w:val="0"/>
      <w:divBdr>
        <w:top w:val="none" w:sz="0" w:space="0" w:color="auto"/>
        <w:left w:val="none" w:sz="0" w:space="0" w:color="auto"/>
        <w:bottom w:val="none" w:sz="0" w:space="0" w:color="auto"/>
        <w:right w:val="none" w:sz="0" w:space="0" w:color="auto"/>
      </w:divBdr>
      <w:divsChild>
        <w:div w:id="1458376299">
          <w:marLeft w:val="0"/>
          <w:marRight w:val="0"/>
          <w:marTop w:val="0"/>
          <w:marBottom w:val="0"/>
          <w:divBdr>
            <w:top w:val="none" w:sz="0" w:space="0" w:color="auto"/>
            <w:left w:val="none" w:sz="0" w:space="0" w:color="auto"/>
            <w:bottom w:val="none" w:sz="0" w:space="0" w:color="auto"/>
            <w:right w:val="none" w:sz="0" w:space="0" w:color="auto"/>
          </w:divBdr>
        </w:div>
      </w:divsChild>
    </w:div>
    <w:div w:id="615327812">
      <w:bodyDiv w:val="1"/>
      <w:marLeft w:val="0"/>
      <w:marRight w:val="0"/>
      <w:marTop w:val="0"/>
      <w:marBottom w:val="0"/>
      <w:divBdr>
        <w:top w:val="none" w:sz="0" w:space="0" w:color="auto"/>
        <w:left w:val="none" w:sz="0" w:space="0" w:color="auto"/>
        <w:bottom w:val="none" w:sz="0" w:space="0" w:color="auto"/>
        <w:right w:val="none" w:sz="0" w:space="0" w:color="auto"/>
      </w:divBdr>
    </w:div>
    <w:div w:id="653872501">
      <w:bodyDiv w:val="1"/>
      <w:marLeft w:val="0"/>
      <w:marRight w:val="0"/>
      <w:marTop w:val="0"/>
      <w:marBottom w:val="0"/>
      <w:divBdr>
        <w:top w:val="none" w:sz="0" w:space="0" w:color="auto"/>
        <w:left w:val="none" w:sz="0" w:space="0" w:color="auto"/>
        <w:bottom w:val="none" w:sz="0" w:space="0" w:color="auto"/>
        <w:right w:val="none" w:sz="0" w:space="0" w:color="auto"/>
      </w:divBdr>
      <w:divsChild>
        <w:div w:id="169412289">
          <w:marLeft w:val="0"/>
          <w:marRight w:val="0"/>
          <w:marTop w:val="0"/>
          <w:marBottom w:val="0"/>
          <w:divBdr>
            <w:top w:val="none" w:sz="0" w:space="0" w:color="auto"/>
            <w:left w:val="none" w:sz="0" w:space="0" w:color="auto"/>
            <w:bottom w:val="none" w:sz="0" w:space="0" w:color="auto"/>
            <w:right w:val="none" w:sz="0" w:space="0" w:color="auto"/>
          </w:divBdr>
        </w:div>
      </w:divsChild>
    </w:div>
    <w:div w:id="670332778">
      <w:bodyDiv w:val="1"/>
      <w:marLeft w:val="0"/>
      <w:marRight w:val="0"/>
      <w:marTop w:val="0"/>
      <w:marBottom w:val="0"/>
      <w:divBdr>
        <w:top w:val="none" w:sz="0" w:space="0" w:color="auto"/>
        <w:left w:val="none" w:sz="0" w:space="0" w:color="auto"/>
        <w:bottom w:val="none" w:sz="0" w:space="0" w:color="auto"/>
        <w:right w:val="none" w:sz="0" w:space="0" w:color="auto"/>
      </w:divBdr>
    </w:div>
    <w:div w:id="719474858">
      <w:bodyDiv w:val="1"/>
      <w:marLeft w:val="0"/>
      <w:marRight w:val="0"/>
      <w:marTop w:val="0"/>
      <w:marBottom w:val="0"/>
      <w:divBdr>
        <w:top w:val="none" w:sz="0" w:space="0" w:color="auto"/>
        <w:left w:val="none" w:sz="0" w:space="0" w:color="auto"/>
        <w:bottom w:val="none" w:sz="0" w:space="0" w:color="auto"/>
        <w:right w:val="none" w:sz="0" w:space="0" w:color="auto"/>
      </w:divBdr>
    </w:div>
    <w:div w:id="745304263">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25977595">
      <w:bodyDiv w:val="1"/>
      <w:marLeft w:val="0"/>
      <w:marRight w:val="0"/>
      <w:marTop w:val="0"/>
      <w:marBottom w:val="0"/>
      <w:divBdr>
        <w:top w:val="none" w:sz="0" w:space="0" w:color="auto"/>
        <w:left w:val="none" w:sz="0" w:space="0" w:color="auto"/>
        <w:bottom w:val="none" w:sz="0" w:space="0" w:color="auto"/>
        <w:right w:val="none" w:sz="0" w:space="0" w:color="auto"/>
      </w:divBdr>
    </w:div>
    <w:div w:id="839463512">
      <w:bodyDiv w:val="1"/>
      <w:marLeft w:val="0"/>
      <w:marRight w:val="0"/>
      <w:marTop w:val="0"/>
      <w:marBottom w:val="0"/>
      <w:divBdr>
        <w:top w:val="none" w:sz="0" w:space="0" w:color="auto"/>
        <w:left w:val="none" w:sz="0" w:space="0" w:color="auto"/>
        <w:bottom w:val="none" w:sz="0" w:space="0" w:color="auto"/>
        <w:right w:val="none" w:sz="0" w:space="0" w:color="auto"/>
      </w:divBdr>
    </w:div>
    <w:div w:id="848637995">
      <w:bodyDiv w:val="1"/>
      <w:marLeft w:val="0"/>
      <w:marRight w:val="0"/>
      <w:marTop w:val="0"/>
      <w:marBottom w:val="0"/>
      <w:divBdr>
        <w:top w:val="none" w:sz="0" w:space="0" w:color="auto"/>
        <w:left w:val="none" w:sz="0" w:space="0" w:color="auto"/>
        <w:bottom w:val="none" w:sz="0" w:space="0" w:color="auto"/>
        <w:right w:val="none" w:sz="0" w:space="0" w:color="auto"/>
      </w:divBdr>
    </w:div>
    <w:div w:id="857816882">
      <w:bodyDiv w:val="1"/>
      <w:marLeft w:val="0"/>
      <w:marRight w:val="0"/>
      <w:marTop w:val="0"/>
      <w:marBottom w:val="0"/>
      <w:divBdr>
        <w:top w:val="none" w:sz="0" w:space="0" w:color="auto"/>
        <w:left w:val="none" w:sz="0" w:space="0" w:color="auto"/>
        <w:bottom w:val="none" w:sz="0" w:space="0" w:color="auto"/>
        <w:right w:val="none" w:sz="0" w:space="0" w:color="auto"/>
      </w:divBdr>
    </w:div>
    <w:div w:id="866061647">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21988996">
      <w:bodyDiv w:val="1"/>
      <w:marLeft w:val="0"/>
      <w:marRight w:val="0"/>
      <w:marTop w:val="0"/>
      <w:marBottom w:val="0"/>
      <w:divBdr>
        <w:top w:val="none" w:sz="0" w:space="0" w:color="auto"/>
        <w:left w:val="none" w:sz="0" w:space="0" w:color="auto"/>
        <w:bottom w:val="none" w:sz="0" w:space="0" w:color="auto"/>
        <w:right w:val="none" w:sz="0" w:space="0" w:color="auto"/>
      </w:divBdr>
    </w:div>
    <w:div w:id="936519681">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6564903">
      <w:bodyDiv w:val="1"/>
      <w:marLeft w:val="0"/>
      <w:marRight w:val="0"/>
      <w:marTop w:val="0"/>
      <w:marBottom w:val="0"/>
      <w:divBdr>
        <w:top w:val="none" w:sz="0" w:space="0" w:color="auto"/>
        <w:left w:val="none" w:sz="0" w:space="0" w:color="auto"/>
        <w:bottom w:val="none" w:sz="0" w:space="0" w:color="auto"/>
        <w:right w:val="none" w:sz="0" w:space="0" w:color="auto"/>
      </w:divBdr>
    </w:div>
    <w:div w:id="985628378">
      <w:bodyDiv w:val="1"/>
      <w:marLeft w:val="0"/>
      <w:marRight w:val="0"/>
      <w:marTop w:val="0"/>
      <w:marBottom w:val="0"/>
      <w:divBdr>
        <w:top w:val="none" w:sz="0" w:space="0" w:color="auto"/>
        <w:left w:val="none" w:sz="0" w:space="0" w:color="auto"/>
        <w:bottom w:val="none" w:sz="0" w:space="0" w:color="auto"/>
        <w:right w:val="none" w:sz="0" w:space="0" w:color="auto"/>
      </w:divBdr>
    </w:div>
    <w:div w:id="990015042">
      <w:bodyDiv w:val="1"/>
      <w:marLeft w:val="0"/>
      <w:marRight w:val="0"/>
      <w:marTop w:val="0"/>
      <w:marBottom w:val="0"/>
      <w:divBdr>
        <w:top w:val="none" w:sz="0" w:space="0" w:color="auto"/>
        <w:left w:val="none" w:sz="0" w:space="0" w:color="auto"/>
        <w:bottom w:val="none" w:sz="0" w:space="0" w:color="auto"/>
        <w:right w:val="none" w:sz="0" w:space="0" w:color="auto"/>
      </w:divBdr>
    </w:div>
    <w:div w:id="1025904010">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82799039">
      <w:bodyDiv w:val="1"/>
      <w:marLeft w:val="0"/>
      <w:marRight w:val="0"/>
      <w:marTop w:val="0"/>
      <w:marBottom w:val="0"/>
      <w:divBdr>
        <w:top w:val="none" w:sz="0" w:space="0" w:color="auto"/>
        <w:left w:val="none" w:sz="0" w:space="0" w:color="auto"/>
        <w:bottom w:val="none" w:sz="0" w:space="0" w:color="auto"/>
        <w:right w:val="none" w:sz="0" w:space="0" w:color="auto"/>
      </w:divBdr>
    </w:div>
    <w:div w:id="1122042559">
      <w:bodyDiv w:val="1"/>
      <w:marLeft w:val="0"/>
      <w:marRight w:val="0"/>
      <w:marTop w:val="0"/>
      <w:marBottom w:val="0"/>
      <w:divBdr>
        <w:top w:val="none" w:sz="0" w:space="0" w:color="auto"/>
        <w:left w:val="none" w:sz="0" w:space="0" w:color="auto"/>
        <w:bottom w:val="none" w:sz="0" w:space="0" w:color="auto"/>
        <w:right w:val="none" w:sz="0" w:space="0" w:color="auto"/>
      </w:divBdr>
      <w:divsChild>
        <w:div w:id="1903059273">
          <w:marLeft w:val="0"/>
          <w:marRight w:val="0"/>
          <w:marTop w:val="0"/>
          <w:marBottom w:val="0"/>
          <w:divBdr>
            <w:top w:val="none" w:sz="0" w:space="0" w:color="auto"/>
            <w:left w:val="none" w:sz="0" w:space="0" w:color="auto"/>
            <w:bottom w:val="none" w:sz="0" w:space="0" w:color="auto"/>
            <w:right w:val="none" w:sz="0" w:space="0" w:color="auto"/>
          </w:divBdr>
          <w:divsChild>
            <w:div w:id="76052389">
              <w:marLeft w:val="0"/>
              <w:marRight w:val="0"/>
              <w:marTop w:val="0"/>
              <w:marBottom w:val="0"/>
              <w:divBdr>
                <w:top w:val="none" w:sz="0" w:space="0" w:color="auto"/>
                <w:left w:val="none" w:sz="0" w:space="0" w:color="auto"/>
                <w:bottom w:val="none" w:sz="0" w:space="0" w:color="auto"/>
                <w:right w:val="none" w:sz="0" w:space="0" w:color="auto"/>
              </w:divBdr>
              <w:divsChild>
                <w:div w:id="1632438549">
                  <w:marLeft w:val="0"/>
                  <w:marRight w:val="0"/>
                  <w:marTop w:val="0"/>
                  <w:marBottom w:val="0"/>
                  <w:divBdr>
                    <w:top w:val="none" w:sz="0" w:space="0" w:color="auto"/>
                    <w:left w:val="none" w:sz="0" w:space="0" w:color="auto"/>
                    <w:bottom w:val="none" w:sz="0" w:space="0" w:color="auto"/>
                    <w:right w:val="none" w:sz="0" w:space="0" w:color="auto"/>
                  </w:divBdr>
                  <w:divsChild>
                    <w:div w:id="1476334716">
                      <w:marLeft w:val="0"/>
                      <w:marRight w:val="0"/>
                      <w:marTop w:val="0"/>
                      <w:marBottom w:val="0"/>
                      <w:divBdr>
                        <w:top w:val="none" w:sz="0" w:space="0" w:color="auto"/>
                        <w:left w:val="none" w:sz="0" w:space="0" w:color="auto"/>
                        <w:bottom w:val="none" w:sz="0" w:space="0" w:color="auto"/>
                        <w:right w:val="none" w:sz="0" w:space="0" w:color="auto"/>
                      </w:divBdr>
                      <w:divsChild>
                        <w:div w:id="53111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201204">
              <w:marLeft w:val="0"/>
              <w:marRight w:val="0"/>
              <w:marTop w:val="0"/>
              <w:marBottom w:val="0"/>
              <w:divBdr>
                <w:top w:val="none" w:sz="0" w:space="0" w:color="auto"/>
                <w:left w:val="none" w:sz="0" w:space="0" w:color="auto"/>
                <w:bottom w:val="none" w:sz="0" w:space="0" w:color="auto"/>
                <w:right w:val="none" w:sz="0" w:space="0" w:color="auto"/>
              </w:divBdr>
            </w:div>
            <w:div w:id="58751945">
              <w:marLeft w:val="0"/>
              <w:marRight w:val="0"/>
              <w:marTop w:val="0"/>
              <w:marBottom w:val="0"/>
              <w:divBdr>
                <w:top w:val="none" w:sz="0" w:space="0" w:color="auto"/>
                <w:left w:val="none" w:sz="0" w:space="0" w:color="auto"/>
                <w:bottom w:val="none" w:sz="0" w:space="0" w:color="auto"/>
                <w:right w:val="none" w:sz="0" w:space="0" w:color="auto"/>
              </w:divBdr>
              <w:divsChild>
                <w:div w:id="59182655">
                  <w:marLeft w:val="0"/>
                  <w:marRight w:val="0"/>
                  <w:marTop w:val="0"/>
                  <w:marBottom w:val="0"/>
                  <w:divBdr>
                    <w:top w:val="none" w:sz="0" w:space="0" w:color="auto"/>
                    <w:left w:val="none" w:sz="0" w:space="0" w:color="auto"/>
                    <w:bottom w:val="none" w:sz="0" w:space="0" w:color="auto"/>
                    <w:right w:val="none" w:sz="0" w:space="0" w:color="auto"/>
                  </w:divBdr>
                  <w:divsChild>
                    <w:div w:id="571163102">
                      <w:marLeft w:val="0"/>
                      <w:marRight w:val="0"/>
                      <w:marTop w:val="0"/>
                      <w:marBottom w:val="0"/>
                      <w:divBdr>
                        <w:top w:val="none" w:sz="0" w:space="0" w:color="auto"/>
                        <w:left w:val="none" w:sz="0" w:space="0" w:color="auto"/>
                        <w:bottom w:val="none" w:sz="0" w:space="0" w:color="auto"/>
                        <w:right w:val="none" w:sz="0" w:space="0" w:color="auto"/>
                      </w:divBdr>
                      <w:divsChild>
                        <w:div w:id="12100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2269618">
      <w:bodyDiv w:val="1"/>
      <w:marLeft w:val="0"/>
      <w:marRight w:val="0"/>
      <w:marTop w:val="0"/>
      <w:marBottom w:val="0"/>
      <w:divBdr>
        <w:top w:val="none" w:sz="0" w:space="0" w:color="auto"/>
        <w:left w:val="none" w:sz="0" w:space="0" w:color="auto"/>
        <w:bottom w:val="none" w:sz="0" w:space="0" w:color="auto"/>
        <w:right w:val="none" w:sz="0" w:space="0" w:color="auto"/>
      </w:divBdr>
    </w:div>
    <w:div w:id="1126503130">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2733068">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6135404">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91208762">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4837859">
      <w:bodyDiv w:val="1"/>
      <w:marLeft w:val="0"/>
      <w:marRight w:val="0"/>
      <w:marTop w:val="0"/>
      <w:marBottom w:val="0"/>
      <w:divBdr>
        <w:top w:val="none" w:sz="0" w:space="0" w:color="auto"/>
        <w:left w:val="none" w:sz="0" w:space="0" w:color="auto"/>
        <w:bottom w:val="none" w:sz="0" w:space="0" w:color="auto"/>
        <w:right w:val="none" w:sz="0" w:space="0" w:color="auto"/>
      </w:divBdr>
    </w:div>
    <w:div w:id="1347903676">
      <w:bodyDiv w:val="1"/>
      <w:marLeft w:val="0"/>
      <w:marRight w:val="0"/>
      <w:marTop w:val="0"/>
      <w:marBottom w:val="0"/>
      <w:divBdr>
        <w:top w:val="none" w:sz="0" w:space="0" w:color="auto"/>
        <w:left w:val="none" w:sz="0" w:space="0" w:color="auto"/>
        <w:bottom w:val="none" w:sz="0" w:space="0" w:color="auto"/>
        <w:right w:val="none" w:sz="0" w:space="0" w:color="auto"/>
      </w:divBdr>
    </w:div>
    <w:div w:id="1429153525">
      <w:bodyDiv w:val="1"/>
      <w:marLeft w:val="0"/>
      <w:marRight w:val="0"/>
      <w:marTop w:val="0"/>
      <w:marBottom w:val="0"/>
      <w:divBdr>
        <w:top w:val="none" w:sz="0" w:space="0" w:color="auto"/>
        <w:left w:val="none" w:sz="0" w:space="0" w:color="auto"/>
        <w:bottom w:val="none" w:sz="0" w:space="0" w:color="auto"/>
        <w:right w:val="none" w:sz="0" w:space="0" w:color="auto"/>
      </w:divBdr>
    </w:div>
    <w:div w:id="1447769085">
      <w:bodyDiv w:val="1"/>
      <w:marLeft w:val="0"/>
      <w:marRight w:val="0"/>
      <w:marTop w:val="0"/>
      <w:marBottom w:val="0"/>
      <w:divBdr>
        <w:top w:val="none" w:sz="0" w:space="0" w:color="auto"/>
        <w:left w:val="none" w:sz="0" w:space="0" w:color="auto"/>
        <w:bottom w:val="none" w:sz="0" w:space="0" w:color="auto"/>
        <w:right w:val="none" w:sz="0" w:space="0" w:color="auto"/>
      </w:divBdr>
    </w:div>
    <w:div w:id="1473867147">
      <w:bodyDiv w:val="1"/>
      <w:marLeft w:val="0"/>
      <w:marRight w:val="0"/>
      <w:marTop w:val="0"/>
      <w:marBottom w:val="0"/>
      <w:divBdr>
        <w:top w:val="none" w:sz="0" w:space="0" w:color="auto"/>
        <w:left w:val="none" w:sz="0" w:space="0" w:color="auto"/>
        <w:bottom w:val="none" w:sz="0" w:space="0" w:color="auto"/>
        <w:right w:val="none" w:sz="0" w:space="0" w:color="auto"/>
      </w:divBdr>
    </w:div>
    <w:div w:id="15012389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87374429">
      <w:bodyDiv w:val="1"/>
      <w:marLeft w:val="0"/>
      <w:marRight w:val="0"/>
      <w:marTop w:val="0"/>
      <w:marBottom w:val="0"/>
      <w:divBdr>
        <w:top w:val="none" w:sz="0" w:space="0" w:color="auto"/>
        <w:left w:val="none" w:sz="0" w:space="0" w:color="auto"/>
        <w:bottom w:val="none" w:sz="0" w:space="0" w:color="auto"/>
        <w:right w:val="none" w:sz="0" w:space="0" w:color="auto"/>
      </w:divBdr>
      <w:divsChild>
        <w:div w:id="973289768">
          <w:marLeft w:val="547"/>
          <w:marRight w:val="0"/>
          <w:marTop w:val="0"/>
          <w:marBottom w:val="0"/>
          <w:divBdr>
            <w:top w:val="none" w:sz="0" w:space="0" w:color="auto"/>
            <w:left w:val="none" w:sz="0" w:space="0" w:color="auto"/>
            <w:bottom w:val="none" w:sz="0" w:space="0" w:color="auto"/>
            <w:right w:val="none" w:sz="0" w:space="0" w:color="auto"/>
          </w:divBdr>
        </w:div>
      </w:divsChild>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8364194">
      <w:bodyDiv w:val="1"/>
      <w:marLeft w:val="0"/>
      <w:marRight w:val="0"/>
      <w:marTop w:val="0"/>
      <w:marBottom w:val="0"/>
      <w:divBdr>
        <w:top w:val="none" w:sz="0" w:space="0" w:color="auto"/>
        <w:left w:val="none" w:sz="0" w:space="0" w:color="auto"/>
        <w:bottom w:val="none" w:sz="0" w:space="0" w:color="auto"/>
        <w:right w:val="none" w:sz="0" w:space="0" w:color="auto"/>
      </w:divBdr>
    </w:div>
    <w:div w:id="1687830939">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809324641">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7102147">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87932048">
      <w:bodyDiv w:val="1"/>
      <w:marLeft w:val="0"/>
      <w:marRight w:val="0"/>
      <w:marTop w:val="0"/>
      <w:marBottom w:val="0"/>
      <w:divBdr>
        <w:top w:val="none" w:sz="0" w:space="0" w:color="auto"/>
        <w:left w:val="none" w:sz="0" w:space="0" w:color="auto"/>
        <w:bottom w:val="none" w:sz="0" w:space="0" w:color="auto"/>
        <w:right w:val="none" w:sz="0" w:space="0" w:color="auto"/>
      </w:divBdr>
    </w:div>
    <w:div w:id="1990205460">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03389008">
      <w:bodyDiv w:val="1"/>
      <w:marLeft w:val="0"/>
      <w:marRight w:val="0"/>
      <w:marTop w:val="0"/>
      <w:marBottom w:val="0"/>
      <w:divBdr>
        <w:top w:val="none" w:sz="0" w:space="0" w:color="auto"/>
        <w:left w:val="none" w:sz="0" w:space="0" w:color="auto"/>
        <w:bottom w:val="none" w:sz="0" w:space="0" w:color="auto"/>
        <w:right w:val="none" w:sz="0" w:space="0" w:color="auto"/>
      </w:divBdr>
    </w:div>
    <w:div w:id="2004234287">
      <w:bodyDiv w:val="1"/>
      <w:marLeft w:val="0"/>
      <w:marRight w:val="0"/>
      <w:marTop w:val="0"/>
      <w:marBottom w:val="0"/>
      <w:divBdr>
        <w:top w:val="none" w:sz="0" w:space="0" w:color="auto"/>
        <w:left w:val="none" w:sz="0" w:space="0" w:color="auto"/>
        <w:bottom w:val="none" w:sz="0" w:space="0" w:color="auto"/>
        <w:right w:val="none" w:sz="0" w:space="0" w:color="auto"/>
      </w:divBdr>
    </w:div>
    <w:div w:id="2047100349">
      <w:bodyDiv w:val="1"/>
      <w:marLeft w:val="0"/>
      <w:marRight w:val="0"/>
      <w:marTop w:val="0"/>
      <w:marBottom w:val="0"/>
      <w:divBdr>
        <w:top w:val="none" w:sz="0" w:space="0" w:color="auto"/>
        <w:left w:val="none" w:sz="0" w:space="0" w:color="auto"/>
        <w:bottom w:val="none" w:sz="0" w:space="0" w:color="auto"/>
        <w:right w:val="none" w:sz="0" w:space="0" w:color="auto"/>
      </w:divBdr>
      <w:divsChild>
        <w:div w:id="431170809">
          <w:marLeft w:val="0"/>
          <w:marRight w:val="0"/>
          <w:marTop w:val="0"/>
          <w:marBottom w:val="0"/>
          <w:divBdr>
            <w:top w:val="none" w:sz="0" w:space="0" w:color="auto"/>
            <w:left w:val="none" w:sz="0" w:space="0" w:color="auto"/>
            <w:bottom w:val="none" w:sz="0" w:space="0" w:color="auto"/>
            <w:right w:val="none" w:sz="0" w:space="0" w:color="auto"/>
          </w:divBdr>
          <w:divsChild>
            <w:div w:id="880560172">
              <w:marLeft w:val="0"/>
              <w:marRight w:val="0"/>
              <w:marTop w:val="0"/>
              <w:marBottom w:val="0"/>
              <w:divBdr>
                <w:top w:val="none" w:sz="0" w:space="0" w:color="auto"/>
                <w:left w:val="none" w:sz="0" w:space="0" w:color="auto"/>
                <w:bottom w:val="none" w:sz="0" w:space="0" w:color="auto"/>
                <w:right w:val="none" w:sz="0" w:space="0" w:color="auto"/>
              </w:divBdr>
              <w:divsChild>
                <w:div w:id="997415733">
                  <w:marLeft w:val="0"/>
                  <w:marRight w:val="0"/>
                  <w:marTop w:val="0"/>
                  <w:marBottom w:val="0"/>
                  <w:divBdr>
                    <w:top w:val="none" w:sz="0" w:space="0" w:color="auto"/>
                    <w:left w:val="none" w:sz="0" w:space="0" w:color="auto"/>
                    <w:bottom w:val="none" w:sz="0" w:space="0" w:color="auto"/>
                    <w:right w:val="none" w:sz="0" w:space="0" w:color="auto"/>
                  </w:divBdr>
                  <w:divsChild>
                    <w:div w:id="1126049322">
                      <w:marLeft w:val="0"/>
                      <w:marRight w:val="0"/>
                      <w:marTop w:val="0"/>
                      <w:marBottom w:val="0"/>
                      <w:divBdr>
                        <w:top w:val="none" w:sz="0" w:space="0" w:color="auto"/>
                        <w:left w:val="none" w:sz="0" w:space="0" w:color="auto"/>
                        <w:bottom w:val="none" w:sz="0" w:space="0" w:color="auto"/>
                        <w:right w:val="none" w:sz="0" w:space="0" w:color="auto"/>
                      </w:divBdr>
                      <w:divsChild>
                        <w:div w:id="173188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243839">
              <w:marLeft w:val="0"/>
              <w:marRight w:val="0"/>
              <w:marTop w:val="0"/>
              <w:marBottom w:val="0"/>
              <w:divBdr>
                <w:top w:val="none" w:sz="0" w:space="0" w:color="auto"/>
                <w:left w:val="none" w:sz="0" w:space="0" w:color="auto"/>
                <w:bottom w:val="none" w:sz="0" w:space="0" w:color="auto"/>
                <w:right w:val="none" w:sz="0" w:space="0" w:color="auto"/>
              </w:divBdr>
            </w:div>
            <w:div w:id="231309168">
              <w:marLeft w:val="0"/>
              <w:marRight w:val="0"/>
              <w:marTop w:val="0"/>
              <w:marBottom w:val="0"/>
              <w:divBdr>
                <w:top w:val="none" w:sz="0" w:space="0" w:color="auto"/>
                <w:left w:val="none" w:sz="0" w:space="0" w:color="auto"/>
                <w:bottom w:val="none" w:sz="0" w:space="0" w:color="auto"/>
                <w:right w:val="none" w:sz="0" w:space="0" w:color="auto"/>
              </w:divBdr>
              <w:divsChild>
                <w:div w:id="2139182139">
                  <w:marLeft w:val="0"/>
                  <w:marRight w:val="0"/>
                  <w:marTop w:val="0"/>
                  <w:marBottom w:val="0"/>
                  <w:divBdr>
                    <w:top w:val="none" w:sz="0" w:space="0" w:color="auto"/>
                    <w:left w:val="none" w:sz="0" w:space="0" w:color="auto"/>
                    <w:bottom w:val="none" w:sz="0" w:space="0" w:color="auto"/>
                    <w:right w:val="none" w:sz="0" w:space="0" w:color="auto"/>
                  </w:divBdr>
                  <w:divsChild>
                    <w:div w:id="1283725070">
                      <w:marLeft w:val="0"/>
                      <w:marRight w:val="0"/>
                      <w:marTop w:val="0"/>
                      <w:marBottom w:val="0"/>
                      <w:divBdr>
                        <w:top w:val="none" w:sz="0" w:space="0" w:color="auto"/>
                        <w:left w:val="none" w:sz="0" w:space="0" w:color="auto"/>
                        <w:bottom w:val="none" w:sz="0" w:space="0" w:color="auto"/>
                        <w:right w:val="none" w:sz="0" w:space="0" w:color="auto"/>
                      </w:divBdr>
                      <w:divsChild>
                        <w:div w:id="79364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4521424">
      <w:bodyDiv w:val="1"/>
      <w:marLeft w:val="0"/>
      <w:marRight w:val="0"/>
      <w:marTop w:val="0"/>
      <w:marBottom w:val="0"/>
      <w:divBdr>
        <w:top w:val="none" w:sz="0" w:space="0" w:color="auto"/>
        <w:left w:val="none" w:sz="0" w:space="0" w:color="auto"/>
        <w:bottom w:val="none" w:sz="0" w:space="0" w:color="auto"/>
        <w:right w:val="none" w:sz="0" w:space="0" w:color="auto"/>
      </w:divBdr>
    </w:div>
    <w:div w:id="211886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yperlink" Target="http://www.3gpp.org/ftp/TSG_RAN/WG1_RL1/TSGR1_102-e/Docs/R1-2006192.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1_RL1/TSGR1_102-e/Docs/R1-2005529.zip" TargetMode="External"/><Relationship Id="rId2" Type="http://schemas.openxmlformats.org/officeDocument/2006/relationships/customXml" Target="../customXml/item2.xml"/><Relationship Id="rId16" Type="http://schemas.openxmlformats.org/officeDocument/2006/relationships/hyperlink" Target="https://www.3gpp.org/ftp/Specs/archive/36_series/36.133/36133-g60.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04b-e/Inbox/Younsun_sessions/Younsun's%20Session%20Notes%20RAN1%23104bis-e%20(Rel-17%208.9%20NB-IoT%20%26%20eMTC)%20eom.doc" TargetMode="Externa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5NUHHDQN7SK2-1476151046-500663</_dlc_DocId>
    <_dlc_DocIdUrl xmlns="f166a696-7b5b-4ccd-9f0c-ffde0cceec81">
      <Url>https://ericsson.sharepoint.com/sites/star/_layouts/15/DocIdRedir.aspx?ID=5NUHHDQN7SK2-1476151046-500663</Url>
      <Description>5NUHHDQN7SK2-1476151046-500663</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1A76205-E210-463F-88EF-4EB3D6A7C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BADEF8-9536-4CC0-A732-8A1F12BFA242}">
  <ds:schemaRefs>
    <ds:schemaRef ds:uri="Microsoft.SharePoint.Taxonomy.ContentTypeSync"/>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20599C95-BB30-4E8E-A163-A7E3AD2E7520}">
  <ds:schemaRefs>
    <ds:schemaRef ds:uri="http://schemas.openxmlformats.org/officeDocument/2006/bibliography"/>
  </ds:schemaRefs>
</ds:datastoreItem>
</file>

<file path=customXml/itemProps5.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6.xml><?xml version="1.0" encoding="utf-8"?>
<ds:datastoreItem xmlns:ds="http://schemas.openxmlformats.org/officeDocument/2006/customXml" ds:itemID="{440A764E-3371-4325-88F0-882047352E4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30</TotalTime>
  <Pages>13</Pages>
  <Words>5770</Words>
  <Characters>30583</Characters>
  <Application>Microsoft Office Word</Application>
  <DocSecurity>0</DocSecurity>
  <Lines>254</Lines>
  <Paragraphs>72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6</cp:revision>
  <cp:lastPrinted>2008-01-30T22:09:00Z</cp:lastPrinted>
  <dcterms:created xsi:type="dcterms:W3CDTF">2021-05-11T12:37:00Z</dcterms:created>
  <dcterms:modified xsi:type="dcterms:W3CDTF">2021-05-11T16:01:00Z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f87f129f-38b3-4ec8-ab03-cb952b26dfcd</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